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center" w:tblpY="-1323"/>
        <w:bidiVisual/>
        <w:tblW w:w="6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3229"/>
      </w:tblGrid>
      <w:tr w:rsidR="00BF19AA" w:rsidRPr="00CB4EE1" w:rsidTr="00BF19AA">
        <w:trPr>
          <w:trHeight w:val="1122"/>
        </w:trPr>
        <w:tc>
          <w:tcPr>
            <w:tcW w:w="2886" w:type="dxa"/>
          </w:tcPr>
          <w:p w:rsidR="00BF19AA" w:rsidRPr="00CB4EE1" w:rsidRDefault="00BF19AA" w:rsidP="00DA1874">
            <w:pPr>
              <w:bidi/>
              <w:jc w:val="both"/>
              <w:rPr>
                <w:rFonts w:asciiTheme="majorBidi" w:eastAsia="Batang" w:hAnsiTheme="majorBidi" w:cstheme="majorBidi"/>
                <w:sz w:val="28"/>
                <w:szCs w:val="28"/>
                <w:lang w:val="fr-MA" w:bidi="ar-MA"/>
              </w:rPr>
            </w:pPr>
          </w:p>
          <w:p w:rsidR="00BF19AA" w:rsidRPr="00CB4EE1" w:rsidRDefault="00BF19AA" w:rsidP="00DA1874">
            <w:pPr>
              <w:bidi/>
              <w:jc w:val="both"/>
              <w:rPr>
                <w:rFonts w:asciiTheme="majorBidi" w:eastAsia="Batang" w:hAnsiTheme="majorBidi" w:cstheme="majorBidi"/>
                <w:sz w:val="28"/>
                <w:szCs w:val="28"/>
                <w:rtl/>
              </w:rPr>
            </w:pPr>
          </w:p>
        </w:tc>
        <w:tc>
          <w:tcPr>
            <w:tcW w:w="3229" w:type="dxa"/>
          </w:tcPr>
          <w:p w:rsidR="00BF19AA" w:rsidRPr="00CB4EE1" w:rsidRDefault="00BF19AA" w:rsidP="00DA1874">
            <w:pPr>
              <w:bidi/>
              <w:jc w:val="both"/>
              <w:rPr>
                <w:rFonts w:asciiTheme="majorBidi" w:eastAsia="Batang" w:hAnsiTheme="majorBidi" w:cstheme="majorBidi"/>
                <w:sz w:val="28"/>
                <w:szCs w:val="28"/>
                <w:lang w:val="fr-MA"/>
              </w:rPr>
            </w:pPr>
          </w:p>
          <w:p w:rsidR="00BF19AA" w:rsidRPr="00CB4EE1" w:rsidRDefault="00BF19AA" w:rsidP="00DA1874">
            <w:pPr>
              <w:bidi/>
              <w:jc w:val="both"/>
              <w:rPr>
                <w:rFonts w:asciiTheme="majorBidi" w:eastAsia="Batang" w:hAnsiTheme="majorBidi" w:cstheme="majorBidi"/>
                <w:sz w:val="28"/>
                <w:szCs w:val="28"/>
                <w:rtl/>
              </w:rPr>
            </w:pPr>
          </w:p>
          <w:p w:rsidR="00BF19AA" w:rsidRPr="00CB4EE1" w:rsidRDefault="00BF19AA" w:rsidP="00DA1874">
            <w:pPr>
              <w:bidi/>
              <w:jc w:val="both"/>
              <w:rPr>
                <w:rFonts w:asciiTheme="majorBidi" w:eastAsia="Batang" w:hAnsiTheme="majorBidi" w:cstheme="majorBidi"/>
                <w:sz w:val="28"/>
                <w:szCs w:val="28"/>
                <w:rtl/>
              </w:rPr>
            </w:pPr>
          </w:p>
          <w:p w:rsidR="00BF19AA" w:rsidRPr="00CB4EE1" w:rsidRDefault="00BF19AA" w:rsidP="00DA1874">
            <w:pPr>
              <w:bidi/>
              <w:jc w:val="both"/>
              <w:rPr>
                <w:rFonts w:asciiTheme="majorBidi" w:eastAsia="Batang" w:hAnsiTheme="majorBidi" w:cstheme="majorBidi"/>
                <w:sz w:val="28"/>
                <w:szCs w:val="28"/>
                <w:rtl/>
              </w:rPr>
            </w:pPr>
          </w:p>
        </w:tc>
      </w:tr>
    </w:tbl>
    <w:p w:rsidR="007E2C98" w:rsidRPr="00CB4EE1" w:rsidRDefault="00BF19AA" w:rsidP="00BF19AA">
      <w:pPr>
        <w:jc w:val="both"/>
        <w:rPr>
          <w:rFonts w:asciiTheme="majorBidi" w:eastAsia="Batang" w:hAnsiTheme="majorBidi" w:cstheme="majorBidi"/>
          <w:sz w:val="28"/>
          <w:szCs w:val="28"/>
          <w:rtl/>
          <w:lang w:bidi="ar-MA"/>
        </w:rPr>
      </w:pPr>
      <w:r w:rsidRPr="00CB4EE1">
        <w:rPr>
          <w:rFonts w:asciiTheme="majorBidi" w:eastAsia="Batang" w:hAnsiTheme="majorBidi" w:cstheme="majorBidi"/>
          <w:sz w:val="28"/>
          <w:szCs w:val="28"/>
        </w:rPr>
        <w:t>Circulaire :12/2021</w:t>
      </w:r>
    </w:p>
    <w:p w:rsidR="00BF19AA" w:rsidRPr="00CB4EE1" w:rsidRDefault="00BF19AA" w:rsidP="00BF19AA">
      <w:pPr>
        <w:spacing w:after="120"/>
        <w:jc w:val="center"/>
        <w:rPr>
          <w:rFonts w:asciiTheme="majorBidi" w:hAnsiTheme="majorBidi" w:cstheme="majorBidi"/>
          <w:b/>
          <w:bCs/>
          <w:sz w:val="28"/>
          <w:szCs w:val="28"/>
        </w:rPr>
      </w:pPr>
      <w:r w:rsidRPr="00CB4EE1">
        <w:rPr>
          <w:rFonts w:asciiTheme="majorBidi" w:hAnsiTheme="majorBidi" w:cstheme="majorBidi"/>
          <w:b/>
          <w:bCs/>
          <w:sz w:val="28"/>
          <w:szCs w:val="28"/>
        </w:rPr>
        <w:t xml:space="preserve">À </w:t>
      </w:r>
    </w:p>
    <w:p w:rsidR="00BF19AA" w:rsidRPr="00CB4EE1" w:rsidRDefault="00BF19AA" w:rsidP="00BF19AA">
      <w:pPr>
        <w:spacing w:after="120"/>
        <w:jc w:val="center"/>
        <w:rPr>
          <w:rFonts w:asciiTheme="majorBidi" w:hAnsiTheme="majorBidi" w:cstheme="majorBidi"/>
          <w:b/>
          <w:bCs/>
          <w:sz w:val="28"/>
          <w:szCs w:val="28"/>
        </w:rPr>
      </w:pPr>
      <w:bookmarkStart w:id="0" w:name="_GoBack"/>
      <w:bookmarkEnd w:id="0"/>
      <w:r w:rsidRPr="00CB4EE1">
        <w:rPr>
          <w:rFonts w:asciiTheme="majorBidi" w:hAnsiTheme="majorBidi" w:cstheme="majorBidi"/>
          <w:b/>
          <w:bCs/>
          <w:sz w:val="28"/>
          <w:szCs w:val="28"/>
        </w:rPr>
        <w:t>Monsieur le Ministre d'État</w:t>
      </w:r>
    </w:p>
    <w:p w:rsidR="00BF19AA" w:rsidRPr="00CB4EE1" w:rsidRDefault="00BF19AA" w:rsidP="00BF19AA">
      <w:pPr>
        <w:spacing w:after="120"/>
        <w:jc w:val="center"/>
        <w:rPr>
          <w:rFonts w:asciiTheme="majorBidi" w:hAnsiTheme="majorBidi" w:cstheme="majorBidi"/>
          <w:b/>
          <w:bCs/>
          <w:sz w:val="28"/>
          <w:szCs w:val="28"/>
        </w:rPr>
      </w:pPr>
      <w:r w:rsidRPr="00CB4EE1">
        <w:rPr>
          <w:rFonts w:asciiTheme="majorBidi" w:hAnsiTheme="majorBidi" w:cstheme="majorBidi"/>
          <w:b/>
          <w:bCs/>
          <w:sz w:val="28"/>
          <w:szCs w:val="28"/>
        </w:rPr>
        <w:t>Mesdames et Messieurs les Ministres et Ministres délégués,</w:t>
      </w:r>
    </w:p>
    <w:p w:rsidR="00BF19AA" w:rsidRPr="00CB4EE1" w:rsidRDefault="00BF19AA" w:rsidP="00BF19AA">
      <w:pPr>
        <w:jc w:val="center"/>
        <w:rPr>
          <w:rFonts w:asciiTheme="majorBidi" w:hAnsiTheme="majorBidi" w:cstheme="majorBidi"/>
          <w:b/>
          <w:bCs/>
          <w:sz w:val="28"/>
          <w:szCs w:val="28"/>
        </w:rPr>
      </w:pPr>
      <w:r w:rsidRPr="00CB4EE1">
        <w:rPr>
          <w:rFonts w:asciiTheme="majorBidi" w:hAnsiTheme="majorBidi" w:cstheme="majorBidi"/>
          <w:b/>
          <w:bCs/>
          <w:sz w:val="28"/>
          <w:szCs w:val="28"/>
        </w:rPr>
        <w:t>Les Hauts Commissaires et le Délégué Général</w:t>
      </w:r>
    </w:p>
    <w:p w:rsidR="00BF19AA" w:rsidRPr="00CB4EE1" w:rsidRDefault="00BF19AA" w:rsidP="00BF19AA">
      <w:pPr>
        <w:jc w:val="center"/>
        <w:rPr>
          <w:rFonts w:asciiTheme="majorBidi" w:hAnsiTheme="majorBidi" w:cstheme="majorBidi"/>
          <w:sz w:val="28"/>
          <w:szCs w:val="28"/>
        </w:rPr>
      </w:pPr>
    </w:p>
    <w:p w:rsidR="00BF19AA" w:rsidRPr="00CB4EE1" w:rsidRDefault="00BF19AA" w:rsidP="00A17C54">
      <w:pPr>
        <w:shd w:val="clear" w:color="auto" w:fill="FFFFFF"/>
        <w:spacing w:after="90" w:line="240" w:lineRule="auto"/>
        <w:ind w:left="709" w:hanging="709"/>
        <w:outlineLvl w:val="1"/>
        <w:rPr>
          <w:rFonts w:asciiTheme="majorBidi" w:hAnsiTheme="majorBidi" w:cstheme="majorBidi"/>
          <w:b/>
          <w:bCs/>
          <w:sz w:val="28"/>
          <w:szCs w:val="28"/>
        </w:rPr>
      </w:pPr>
      <w:r w:rsidRPr="00CB4EE1">
        <w:rPr>
          <w:rFonts w:asciiTheme="majorBidi" w:hAnsiTheme="majorBidi" w:cstheme="majorBidi"/>
          <w:b/>
          <w:bCs/>
          <w:sz w:val="28"/>
          <w:szCs w:val="28"/>
        </w:rPr>
        <w:t xml:space="preserve">Objet : Les </w:t>
      </w:r>
      <w:hyperlink r:id="rId8" w:history="1">
        <w:r w:rsidRPr="00CB4EE1">
          <w:rPr>
            <w:rFonts w:asciiTheme="majorBidi" w:hAnsiTheme="majorBidi" w:cstheme="majorBidi"/>
            <w:b/>
            <w:bCs/>
            <w:sz w:val="28"/>
            <w:szCs w:val="28"/>
          </w:rPr>
          <w:t xml:space="preserve">référentiels de la budgétisation par programme axée sur les résultats issue de la Loi </w:t>
        </w:r>
        <w:r w:rsidR="00A17C54" w:rsidRPr="00CB4EE1">
          <w:rPr>
            <w:rFonts w:asciiTheme="majorBidi" w:hAnsiTheme="majorBidi" w:cstheme="majorBidi"/>
            <w:b/>
            <w:bCs/>
            <w:sz w:val="28"/>
            <w:szCs w:val="28"/>
          </w:rPr>
          <w:t xml:space="preserve">Organique n° 130-13 relative à la loi de finances. </w:t>
        </w:r>
        <w:r w:rsidRPr="00CB4EE1">
          <w:rPr>
            <w:rFonts w:asciiTheme="majorBidi" w:hAnsiTheme="majorBidi" w:cstheme="majorBidi"/>
            <w:b/>
            <w:bCs/>
            <w:sz w:val="28"/>
            <w:szCs w:val="28"/>
          </w:rPr>
          <w:t xml:space="preserve"> </w:t>
        </w:r>
      </w:hyperlink>
    </w:p>
    <w:p w:rsidR="00BF19AA" w:rsidRPr="00CB4EE1" w:rsidRDefault="00BF19AA" w:rsidP="00BF19AA">
      <w:pPr>
        <w:shd w:val="clear" w:color="auto" w:fill="FFFFFF"/>
        <w:spacing w:after="90" w:line="240" w:lineRule="auto"/>
        <w:outlineLvl w:val="1"/>
        <w:rPr>
          <w:rFonts w:asciiTheme="majorBidi" w:hAnsiTheme="majorBidi" w:cstheme="majorBidi"/>
          <w:sz w:val="28"/>
          <w:szCs w:val="28"/>
        </w:rPr>
      </w:pPr>
    </w:p>
    <w:p w:rsidR="00BF19AA" w:rsidRPr="00CB4EE1" w:rsidRDefault="00CB4EE1" w:rsidP="00E24808">
      <w:pPr>
        <w:shd w:val="clear" w:color="auto" w:fill="FFFFFF"/>
        <w:spacing w:after="90" w:line="240" w:lineRule="auto"/>
        <w:jc w:val="both"/>
        <w:outlineLvl w:val="1"/>
        <w:rPr>
          <w:rFonts w:asciiTheme="majorBidi" w:hAnsiTheme="majorBidi" w:cstheme="majorBidi"/>
          <w:sz w:val="28"/>
          <w:szCs w:val="28"/>
        </w:rPr>
      </w:pPr>
      <w:r w:rsidRPr="00CB4EE1">
        <w:rPr>
          <w:rFonts w:asciiTheme="majorBidi" w:hAnsiTheme="majorBidi" w:cstheme="majorBidi"/>
          <w:sz w:val="28"/>
          <w:szCs w:val="28"/>
        </w:rPr>
        <w:t>Ainsi que vous le savez</w:t>
      </w:r>
      <w:r w:rsidR="00BF19AA" w:rsidRPr="00CB4EE1">
        <w:rPr>
          <w:rFonts w:asciiTheme="majorBidi" w:hAnsiTheme="majorBidi" w:cstheme="majorBidi"/>
          <w:sz w:val="28"/>
          <w:szCs w:val="28"/>
        </w:rPr>
        <w:t>, le renforcement de la performance de la</w:t>
      </w:r>
      <w:r w:rsidR="002061E0" w:rsidRPr="00CB4EE1">
        <w:rPr>
          <w:rFonts w:asciiTheme="majorBidi" w:hAnsiTheme="majorBidi" w:cstheme="majorBidi"/>
          <w:sz w:val="28"/>
          <w:szCs w:val="28"/>
        </w:rPr>
        <w:t xml:space="preserve"> gestion publique a constitué </w:t>
      </w:r>
      <w:r w:rsidR="00BF19AA" w:rsidRPr="00CB4EE1">
        <w:rPr>
          <w:rFonts w:asciiTheme="majorBidi" w:hAnsiTheme="majorBidi" w:cstheme="majorBidi"/>
          <w:sz w:val="28"/>
          <w:szCs w:val="28"/>
        </w:rPr>
        <w:t xml:space="preserve">un axe </w:t>
      </w:r>
      <w:r w:rsidR="002061E0" w:rsidRPr="00CB4EE1">
        <w:rPr>
          <w:rFonts w:asciiTheme="majorBidi" w:hAnsiTheme="majorBidi" w:cstheme="majorBidi"/>
          <w:sz w:val="28"/>
          <w:szCs w:val="28"/>
        </w:rPr>
        <w:t xml:space="preserve">majeur </w:t>
      </w:r>
      <w:r w:rsidR="00BF19AA" w:rsidRPr="00CB4EE1">
        <w:rPr>
          <w:rFonts w:asciiTheme="majorBidi" w:hAnsiTheme="majorBidi" w:cstheme="majorBidi"/>
          <w:sz w:val="28"/>
          <w:szCs w:val="28"/>
        </w:rPr>
        <w:t xml:space="preserve">de la Loi Organique n° 130-13 </w:t>
      </w:r>
      <w:r w:rsidR="00A17C54" w:rsidRPr="00CB4EE1">
        <w:rPr>
          <w:rFonts w:asciiTheme="majorBidi" w:hAnsiTheme="majorBidi" w:cstheme="majorBidi"/>
          <w:sz w:val="28"/>
          <w:szCs w:val="28"/>
        </w:rPr>
        <w:t>relative à</w:t>
      </w:r>
      <w:r w:rsidR="00BF19AA" w:rsidRPr="00CB4EE1">
        <w:rPr>
          <w:rFonts w:asciiTheme="majorBidi" w:hAnsiTheme="majorBidi" w:cstheme="majorBidi"/>
          <w:sz w:val="28"/>
          <w:szCs w:val="28"/>
        </w:rPr>
        <w:t xml:space="preserve"> la loi de Finances promulguée par le Dahir n° </w:t>
      </w:r>
      <w:r w:rsidR="002061E0" w:rsidRPr="00CB4EE1">
        <w:rPr>
          <w:rFonts w:asciiTheme="majorBidi" w:hAnsiTheme="majorBidi" w:cstheme="majorBidi"/>
          <w:sz w:val="28"/>
          <w:szCs w:val="28"/>
        </w:rPr>
        <w:t>1-15-62 du 14 chaabane 1436 (2 juin 2015)</w:t>
      </w:r>
      <w:r w:rsidR="00BF19AA" w:rsidRPr="00CB4EE1">
        <w:rPr>
          <w:rFonts w:asciiTheme="majorBidi" w:hAnsiTheme="majorBidi" w:cstheme="majorBidi"/>
          <w:sz w:val="28"/>
          <w:szCs w:val="28"/>
        </w:rPr>
        <w:t xml:space="preserve">, qui a consacré un </w:t>
      </w:r>
      <w:r w:rsidR="002061E0" w:rsidRPr="00CB4EE1">
        <w:rPr>
          <w:rFonts w:asciiTheme="majorBidi" w:hAnsiTheme="majorBidi" w:cstheme="majorBidi"/>
          <w:sz w:val="28"/>
          <w:szCs w:val="28"/>
        </w:rPr>
        <w:t>ensemble</w:t>
      </w:r>
      <w:r w:rsidR="00BF19AA" w:rsidRPr="00CB4EE1">
        <w:rPr>
          <w:rFonts w:asciiTheme="majorBidi" w:hAnsiTheme="majorBidi" w:cstheme="majorBidi"/>
          <w:sz w:val="28"/>
          <w:szCs w:val="28"/>
        </w:rPr>
        <w:t xml:space="preserve"> de dispositions qui encadrent la mise en place de la gestion axée sur les résultats</w:t>
      </w:r>
      <w:r w:rsidR="002061E0" w:rsidRPr="00CB4EE1">
        <w:rPr>
          <w:rFonts w:asciiTheme="majorBidi" w:hAnsiTheme="majorBidi" w:cstheme="majorBidi"/>
          <w:sz w:val="28"/>
          <w:szCs w:val="28"/>
        </w:rPr>
        <w:t xml:space="preserve"> et</w:t>
      </w:r>
      <w:r w:rsidR="00BF19AA" w:rsidRPr="00CB4EE1">
        <w:rPr>
          <w:rFonts w:asciiTheme="majorBidi" w:hAnsiTheme="majorBidi" w:cstheme="majorBidi"/>
          <w:sz w:val="28"/>
          <w:szCs w:val="28"/>
        </w:rPr>
        <w:t xml:space="preserve"> la démarche de la performance</w:t>
      </w:r>
      <w:r w:rsidR="002061E0" w:rsidRPr="00CB4EE1">
        <w:rPr>
          <w:rFonts w:asciiTheme="majorBidi" w:hAnsiTheme="majorBidi" w:cstheme="majorBidi"/>
          <w:sz w:val="28"/>
          <w:szCs w:val="28"/>
        </w:rPr>
        <w:t>,</w:t>
      </w:r>
      <w:r w:rsidR="00BF19AA" w:rsidRPr="00CB4EE1">
        <w:rPr>
          <w:rFonts w:asciiTheme="majorBidi" w:hAnsiTheme="majorBidi" w:cstheme="majorBidi"/>
          <w:sz w:val="28"/>
          <w:szCs w:val="28"/>
        </w:rPr>
        <w:t xml:space="preserve"> et </w:t>
      </w:r>
      <w:r w:rsidR="002061E0" w:rsidRPr="00CB4EE1">
        <w:rPr>
          <w:rFonts w:asciiTheme="majorBidi" w:hAnsiTheme="majorBidi" w:cstheme="majorBidi"/>
          <w:sz w:val="28"/>
          <w:szCs w:val="28"/>
        </w:rPr>
        <w:t>qui concrétisent l</w:t>
      </w:r>
      <w:r w:rsidR="00E66D05" w:rsidRPr="00CB4EE1">
        <w:rPr>
          <w:rFonts w:asciiTheme="majorBidi" w:hAnsiTheme="majorBidi" w:cstheme="majorBidi"/>
          <w:sz w:val="28"/>
          <w:szCs w:val="28"/>
        </w:rPr>
        <w:t>es principes de l’évaluation</w:t>
      </w:r>
      <w:r w:rsidR="00BF19AA" w:rsidRPr="00CB4EE1">
        <w:rPr>
          <w:rFonts w:asciiTheme="majorBidi" w:hAnsiTheme="majorBidi" w:cstheme="majorBidi"/>
          <w:sz w:val="28"/>
          <w:szCs w:val="28"/>
        </w:rPr>
        <w:t xml:space="preserve"> et de </w:t>
      </w:r>
      <w:r w:rsidR="00E66D05" w:rsidRPr="00CB4EE1">
        <w:rPr>
          <w:rFonts w:asciiTheme="majorBidi" w:hAnsiTheme="majorBidi" w:cstheme="majorBidi"/>
          <w:sz w:val="28"/>
          <w:szCs w:val="28"/>
        </w:rPr>
        <w:t xml:space="preserve">la </w:t>
      </w:r>
      <w:r w:rsidR="00BF19AA" w:rsidRPr="00CB4EE1">
        <w:rPr>
          <w:rFonts w:asciiTheme="majorBidi" w:hAnsiTheme="majorBidi" w:cstheme="majorBidi"/>
          <w:sz w:val="28"/>
          <w:szCs w:val="28"/>
        </w:rPr>
        <w:t>reddition des comptes.</w:t>
      </w:r>
    </w:p>
    <w:p w:rsidR="00011DAA" w:rsidRPr="00CB4EE1" w:rsidRDefault="00CB4EE1" w:rsidP="00CB4EE1">
      <w:pPr>
        <w:jc w:val="both"/>
        <w:rPr>
          <w:rFonts w:asciiTheme="majorBidi" w:hAnsiTheme="majorBidi" w:cstheme="majorBidi"/>
          <w:sz w:val="28"/>
          <w:szCs w:val="28"/>
        </w:rPr>
      </w:pPr>
      <w:r>
        <w:rPr>
          <w:rFonts w:asciiTheme="majorBidi" w:hAnsiTheme="majorBidi" w:cstheme="majorBidi"/>
          <w:sz w:val="28"/>
          <w:szCs w:val="28"/>
        </w:rPr>
        <w:t>Dans ce sillage</w:t>
      </w:r>
      <w:r w:rsidR="00011DAA" w:rsidRPr="00CB4EE1">
        <w:rPr>
          <w:rFonts w:asciiTheme="majorBidi" w:hAnsiTheme="majorBidi" w:cstheme="majorBidi"/>
          <w:sz w:val="28"/>
          <w:szCs w:val="28"/>
        </w:rPr>
        <w:t xml:space="preserve">, </w:t>
      </w:r>
      <w:r w:rsidR="00E66D05" w:rsidRPr="00CB4EE1">
        <w:rPr>
          <w:rFonts w:asciiTheme="majorBidi" w:hAnsiTheme="majorBidi" w:cstheme="majorBidi"/>
          <w:sz w:val="28"/>
          <w:szCs w:val="28"/>
        </w:rPr>
        <w:t xml:space="preserve"> les </w:t>
      </w:r>
      <w:r w:rsidR="00011DAA" w:rsidRPr="00CB4EE1">
        <w:rPr>
          <w:rFonts w:asciiTheme="majorBidi" w:hAnsiTheme="majorBidi" w:cstheme="majorBidi"/>
          <w:sz w:val="28"/>
          <w:szCs w:val="28"/>
        </w:rPr>
        <w:t xml:space="preserve"> parties prenantes institutionnelles </w:t>
      </w:r>
      <w:r>
        <w:rPr>
          <w:rFonts w:asciiTheme="majorBidi" w:hAnsiTheme="majorBidi" w:cstheme="majorBidi"/>
          <w:sz w:val="28"/>
          <w:szCs w:val="28"/>
        </w:rPr>
        <w:t xml:space="preserve">ont </w:t>
      </w:r>
      <w:r w:rsidR="00E66D05" w:rsidRPr="00CB4EE1">
        <w:rPr>
          <w:rFonts w:asciiTheme="majorBidi" w:hAnsiTheme="majorBidi" w:cstheme="majorBidi"/>
          <w:sz w:val="28"/>
          <w:szCs w:val="28"/>
        </w:rPr>
        <w:t xml:space="preserve">unanimement </w:t>
      </w:r>
      <w:r w:rsidRPr="00CB4EE1">
        <w:rPr>
          <w:rFonts w:asciiTheme="majorBidi" w:hAnsiTheme="majorBidi" w:cstheme="majorBidi"/>
          <w:sz w:val="28"/>
          <w:szCs w:val="28"/>
        </w:rPr>
        <w:t>approuv</w:t>
      </w:r>
      <w:r>
        <w:rPr>
          <w:rFonts w:asciiTheme="majorBidi" w:hAnsiTheme="majorBidi" w:cstheme="majorBidi"/>
          <w:sz w:val="28"/>
          <w:szCs w:val="28"/>
        </w:rPr>
        <w:t>é</w:t>
      </w:r>
      <w:r w:rsidRPr="00CB4EE1">
        <w:rPr>
          <w:rFonts w:asciiTheme="majorBidi" w:hAnsiTheme="majorBidi" w:cstheme="majorBidi"/>
          <w:sz w:val="28"/>
          <w:szCs w:val="28"/>
        </w:rPr>
        <w:t xml:space="preserve"> </w:t>
      </w:r>
      <w:r w:rsidR="00011DAA" w:rsidRPr="00CB4EE1">
        <w:rPr>
          <w:rFonts w:asciiTheme="majorBidi" w:hAnsiTheme="majorBidi" w:cstheme="majorBidi"/>
          <w:sz w:val="28"/>
          <w:szCs w:val="28"/>
        </w:rPr>
        <w:t xml:space="preserve">l'importance de cette nouvelle approche budgétaire pour promouvoir le débat budgétaire </w:t>
      </w:r>
      <w:r w:rsidRPr="00CB4EE1">
        <w:rPr>
          <w:rFonts w:asciiTheme="majorBidi" w:hAnsiTheme="majorBidi" w:cstheme="majorBidi"/>
          <w:sz w:val="28"/>
          <w:szCs w:val="28"/>
        </w:rPr>
        <w:t xml:space="preserve">pour interroger </w:t>
      </w:r>
      <w:r w:rsidR="00E66D05" w:rsidRPr="00CB4EE1">
        <w:rPr>
          <w:rFonts w:asciiTheme="majorBidi" w:hAnsiTheme="majorBidi" w:cstheme="majorBidi"/>
          <w:sz w:val="28"/>
          <w:szCs w:val="28"/>
        </w:rPr>
        <w:t xml:space="preserve">l’opportunité de la dépense publique </w:t>
      </w:r>
      <w:r w:rsidR="00011DAA" w:rsidRPr="00CB4EE1">
        <w:rPr>
          <w:rFonts w:asciiTheme="majorBidi" w:hAnsiTheme="majorBidi" w:cstheme="majorBidi"/>
          <w:sz w:val="28"/>
          <w:szCs w:val="28"/>
        </w:rPr>
        <w:t>et l'efficacité des politiques publiques.</w:t>
      </w:r>
    </w:p>
    <w:p w:rsidR="00011DAA" w:rsidRPr="00CB4EE1" w:rsidRDefault="00011DAA" w:rsidP="00CB4EE1">
      <w:pPr>
        <w:jc w:val="both"/>
        <w:rPr>
          <w:rFonts w:asciiTheme="majorBidi" w:hAnsiTheme="majorBidi" w:cstheme="majorBidi"/>
          <w:sz w:val="28"/>
          <w:szCs w:val="28"/>
        </w:rPr>
      </w:pPr>
      <w:r w:rsidRPr="00CB4EE1">
        <w:rPr>
          <w:rFonts w:asciiTheme="majorBidi" w:hAnsiTheme="majorBidi" w:cstheme="majorBidi"/>
          <w:sz w:val="28"/>
          <w:szCs w:val="28"/>
        </w:rPr>
        <w:t xml:space="preserve">Ainsi, cette approche globale et intégrée de la gestion des finances publiques s'est traduite, par </w:t>
      </w:r>
      <w:r w:rsidR="00CB4EE1">
        <w:rPr>
          <w:rFonts w:asciiTheme="majorBidi" w:hAnsiTheme="majorBidi" w:cstheme="majorBidi"/>
          <w:sz w:val="28"/>
          <w:szCs w:val="28"/>
        </w:rPr>
        <w:t>la définition pour les</w:t>
      </w:r>
      <w:r w:rsidRPr="00CB4EE1">
        <w:rPr>
          <w:rFonts w:asciiTheme="majorBidi" w:hAnsiTheme="majorBidi" w:cstheme="majorBidi"/>
          <w:sz w:val="28"/>
          <w:szCs w:val="28"/>
        </w:rPr>
        <w:t xml:space="preserve"> programmes budgétaires des départements ministériels et institutions des objectifs à atteindre ainsi </w:t>
      </w:r>
      <w:r w:rsidR="00E66D05" w:rsidRPr="00CB4EE1">
        <w:rPr>
          <w:rFonts w:asciiTheme="majorBidi" w:hAnsiTheme="majorBidi" w:cstheme="majorBidi"/>
          <w:sz w:val="28"/>
          <w:szCs w:val="28"/>
        </w:rPr>
        <w:t>que des</w:t>
      </w:r>
      <w:r w:rsidRPr="00CB4EE1">
        <w:rPr>
          <w:rFonts w:asciiTheme="majorBidi" w:hAnsiTheme="majorBidi" w:cstheme="majorBidi"/>
          <w:sz w:val="28"/>
          <w:szCs w:val="28"/>
        </w:rPr>
        <w:t xml:space="preserve"> indicateurs de mesure associés, </w:t>
      </w:r>
      <w:r w:rsidR="00CB4EE1">
        <w:rPr>
          <w:rFonts w:asciiTheme="majorBidi" w:hAnsiTheme="majorBidi" w:cstheme="majorBidi"/>
          <w:sz w:val="28"/>
          <w:szCs w:val="28"/>
        </w:rPr>
        <w:t xml:space="preserve">et </w:t>
      </w:r>
      <w:r w:rsidR="00E66D05" w:rsidRPr="00CB4EE1">
        <w:rPr>
          <w:rFonts w:asciiTheme="majorBidi" w:hAnsiTheme="majorBidi" w:cstheme="majorBidi"/>
          <w:sz w:val="28"/>
          <w:szCs w:val="28"/>
        </w:rPr>
        <w:t>dont les valeurs prévisionnelles et l</w:t>
      </w:r>
      <w:r w:rsidRPr="00CB4EE1">
        <w:rPr>
          <w:rFonts w:asciiTheme="majorBidi" w:hAnsiTheme="majorBidi" w:cstheme="majorBidi"/>
          <w:sz w:val="28"/>
          <w:szCs w:val="28"/>
        </w:rPr>
        <w:t xml:space="preserve">es réalisations sont </w:t>
      </w:r>
      <w:r w:rsidR="00E66D05" w:rsidRPr="00CB4EE1">
        <w:rPr>
          <w:rFonts w:asciiTheme="majorBidi" w:hAnsiTheme="majorBidi" w:cstheme="majorBidi"/>
          <w:sz w:val="28"/>
          <w:szCs w:val="28"/>
        </w:rPr>
        <w:t>retracées</w:t>
      </w:r>
      <w:r w:rsidRPr="00CB4EE1">
        <w:rPr>
          <w:rFonts w:asciiTheme="majorBidi" w:hAnsiTheme="majorBidi" w:cstheme="majorBidi"/>
          <w:sz w:val="28"/>
          <w:szCs w:val="28"/>
        </w:rPr>
        <w:t xml:space="preserve"> dans les documents de performance transmis au Parlement.</w:t>
      </w:r>
    </w:p>
    <w:p w:rsidR="00E66D05" w:rsidRPr="00CB4EE1" w:rsidRDefault="00E66D05" w:rsidP="00E24808">
      <w:pPr>
        <w:jc w:val="both"/>
        <w:rPr>
          <w:rFonts w:asciiTheme="majorBidi" w:hAnsiTheme="majorBidi" w:cstheme="majorBidi"/>
          <w:sz w:val="28"/>
          <w:szCs w:val="28"/>
        </w:rPr>
      </w:pPr>
      <w:r w:rsidRPr="00CB4EE1">
        <w:rPr>
          <w:rFonts w:asciiTheme="majorBidi" w:hAnsiTheme="majorBidi" w:cstheme="majorBidi"/>
          <w:sz w:val="28"/>
          <w:szCs w:val="28"/>
        </w:rPr>
        <w:t xml:space="preserve">Ces documents font l'objet d'un audit réalisé par l'Inspection Générale des Finances, et dont les principales conclusions et recommandations </w:t>
      </w:r>
      <w:r w:rsidR="00CC6319" w:rsidRPr="00CB4EE1">
        <w:rPr>
          <w:rFonts w:asciiTheme="majorBidi" w:hAnsiTheme="majorBidi" w:cstheme="majorBidi"/>
          <w:sz w:val="28"/>
          <w:szCs w:val="28"/>
        </w:rPr>
        <w:t xml:space="preserve">sont contenues </w:t>
      </w:r>
      <w:r w:rsidRPr="00CB4EE1">
        <w:rPr>
          <w:rFonts w:asciiTheme="majorBidi" w:hAnsiTheme="majorBidi" w:cstheme="majorBidi"/>
          <w:sz w:val="28"/>
          <w:szCs w:val="28"/>
        </w:rPr>
        <w:t xml:space="preserve">dans le </w:t>
      </w:r>
      <w:r w:rsidR="00CC6319" w:rsidRPr="00CB4EE1">
        <w:rPr>
          <w:rFonts w:asciiTheme="majorBidi" w:hAnsiTheme="majorBidi" w:cstheme="majorBidi"/>
          <w:sz w:val="28"/>
          <w:szCs w:val="28"/>
        </w:rPr>
        <w:t>R</w:t>
      </w:r>
      <w:r w:rsidRPr="00CB4EE1">
        <w:rPr>
          <w:rFonts w:asciiTheme="majorBidi" w:hAnsiTheme="majorBidi" w:cstheme="majorBidi"/>
          <w:sz w:val="28"/>
          <w:szCs w:val="28"/>
        </w:rPr>
        <w:t>apport d'</w:t>
      </w:r>
      <w:r w:rsidR="00CC6319" w:rsidRPr="00CB4EE1">
        <w:rPr>
          <w:rFonts w:asciiTheme="majorBidi" w:hAnsiTheme="majorBidi" w:cstheme="majorBidi"/>
          <w:sz w:val="28"/>
          <w:szCs w:val="28"/>
        </w:rPr>
        <w:t>A</w:t>
      </w:r>
      <w:r w:rsidRPr="00CB4EE1">
        <w:rPr>
          <w:rFonts w:asciiTheme="majorBidi" w:hAnsiTheme="majorBidi" w:cstheme="majorBidi"/>
          <w:sz w:val="28"/>
          <w:szCs w:val="28"/>
        </w:rPr>
        <w:t xml:space="preserve">udit de </w:t>
      </w:r>
      <w:r w:rsidR="00CC6319" w:rsidRPr="00CB4EE1">
        <w:rPr>
          <w:rFonts w:asciiTheme="majorBidi" w:hAnsiTheme="majorBidi" w:cstheme="majorBidi"/>
          <w:sz w:val="28"/>
          <w:szCs w:val="28"/>
        </w:rPr>
        <w:t>P</w:t>
      </w:r>
      <w:r w:rsidRPr="00CB4EE1">
        <w:rPr>
          <w:rFonts w:asciiTheme="majorBidi" w:hAnsiTheme="majorBidi" w:cstheme="majorBidi"/>
          <w:sz w:val="28"/>
          <w:szCs w:val="28"/>
        </w:rPr>
        <w:t xml:space="preserve">erformance </w:t>
      </w:r>
      <w:r w:rsidR="00CC6319" w:rsidRPr="00CB4EE1">
        <w:rPr>
          <w:rFonts w:asciiTheme="majorBidi" w:hAnsiTheme="majorBidi" w:cstheme="majorBidi"/>
          <w:sz w:val="28"/>
          <w:szCs w:val="28"/>
        </w:rPr>
        <w:t xml:space="preserve">accompagnant </w:t>
      </w:r>
      <w:r w:rsidRPr="00CB4EE1">
        <w:rPr>
          <w:rFonts w:asciiTheme="majorBidi" w:hAnsiTheme="majorBidi" w:cstheme="majorBidi"/>
          <w:sz w:val="28"/>
          <w:szCs w:val="28"/>
        </w:rPr>
        <w:t xml:space="preserve"> </w:t>
      </w:r>
      <w:r w:rsidR="00CC6319" w:rsidRPr="00CB4EE1">
        <w:rPr>
          <w:rFonts w:asciiTheme="majorBidi" w:hAnsiTheme="majorBidi" w:cstheme="majorBidi"/>
          <w:sz w:val="28"/>
          <w:szCs w:val="28"/>
        </w:rPr>
        <w:t xml:space="preserve">le </w:t>
      </w:r>
      <w:r w:rsidR="00CB4EE1" w:rsidRPr="00CB4EE1">
        <w:rPr>
          <w:rFonts w:asciiTheme="majorBidi" w:hAnsiTheme="majorBidi" w:cstheme="majorBidi"/>
          <w:sz w:val="28"/>
          <w:szCs w:val="28"/>
        </w:rPr>
        <w:t>P</w:t>
      </w:r>
      <w:r w:rsidR="00CC6319" w:rsidRPr="00CB4EE1">
        <w:rPr>
          <w:rFonts w:asciiTheme="majorBidi" w:hAnsiTheme="majorBidi" w:cstheme="majorBidi"/>
          <w:sz w:val="28"/>
          <w:szCs w:val="28"/>
        </w:rPr>
        <w:t xml:space="preserve">rojet de </w:t>
      </w:r>
      <w:r w:rsidR="00CB4EE1" w:rsidRPr="00CB4EE1">
        <w:rPr>
          <w:rFonts w:asciiTheme="majorBidi" w:hAnsiTheme="majorBidi" w:cstheme="majorBidi"/>
          <w:sz w:val="28"/>
          <w:szCs w:val="28"/>
        </w:rPr>
        <w:t>L</w:t>
      </w:r>
      <w:r w:rsidR="00CC6319" w:rsidRPr="00CB4EE1">
        <w:rPr>
          <w:rFonts w:asciiTheme="majorBidi" w:hAnsiTheme="majorBidi" w:cstheme="majorBidi"/>
          <w:sz w:val="28"/>
          <w:szCs w:val="28"/>
        </w:rPr>
        <w:t xml:space="preserve">oi de </w:t>
      </w:r>
      <w:r w:rsidR="00CB4EE1" w:rsidRPr="00CB4EE1">
        <w:rPr>
          <w:rFonts w:asciiTheme="majorBidi" w:hAnsiTheme="majorBidi" w:cstheme="majorBidi"/>
          <w:sz w:val="28"/>
          <w:szCs w:val="28"/>
        </w:rPr>
        <w:t>R</w:t>
      </w:r>
      <w:r w:rsidR="00CC6319" w:rsidRPr="00CB4EE1">
        <w:rPr>
          <w:rFonts w:asciiTheme="majorBidi" w:hAnsiTheme="majorBidi" w:cstheme="majorBidi"/>
          <w:sz w:val="28"/>
          <w:szCs w:val="28"/>
        </w:rPr>
        <w:t xml:space="preserve">èglement de la </w:t>
      </w:r>
      <w:r w:rsidR="00CB4EE1" w:rsidRPr="00CB4EE1">
        <w:rPr>
          <w:rFonts w:asciiTheme="majorBidi" w:hAnsiTheme="majorBidi" w:cstheme="majorBidi"/>
          <w:sz w:val="28"/>
          <w:szCs w:val="28"/>
        </w:rPr>
        <w:t>L</w:t>
      </w:r>
      <w:r w:rsidR="00CC6319" w:rsidRPr="00CB4EE1">
        <w:rPr>
          <w:rFonts w:asciiTheme="majorBidi" w:hAnsiTheme="majorBidi" w:cstheme="majorBidi"/>
          <w:sz w:val="28"/>
          <w:szCs w:val="28"/>
        </w:rPr>
        <w:t xml:space="preserve">oi de </w:t>
      </w:r>
      <w:r w:rsidR="00CB4EE1" w:rsidRPr="00CB4EE1">
        <w:rPr>
          <w:rFonts w:asciiTheme="majorBidi" w:hAnsiTheme="majorBidi" w:cstheme="majorBidi"/>
          <w:sz w:val="28"/>
          <w:szCs w:val="28"/>
        </w:rPr>
        <w:t>F</w:t>
      </w:r>
      <w:r w:rsidR="00CC6319" w:rsidRPr="00CB4EE1">
        <w:rPr>
          <w:rFonts w:asciiTheme="majorBidi" w:hAnsiTheme="majorBidi" w:cstheme="majorBidi"/>
          <w:sz w:val="28"/>
          <w:szCs w:val="28"/>
        </w:rPr>
        <w:t>inances</w:t>
      </w:r>
      <w:r w:rsidRPr="00CB4EE1">
        <w:rPr>
          <w:rFonts w:asciiTheme="majorBidi" w:hAnsiTheme="majorBidi" w:cstheme="majorBidi"/>
          <w:sz w:val="28"/>
          <w:szCs w:val="28"/>
        </w:rPr>
        <w:t>. A cet égard, le</w:t>
      </w:r>
      <w:r w:rsidR="00CC6319" w:rsidRPr="00CB4EE1">
        <w:rPr>
          <w:rFonts w:asciiTheme="majorBidi" w:hAnsiTheme="majorBidi" w:cstheme="majorBidi"/>
          <w:sz w:val="28"/>
          <w:szCs w:val="28"/>
        </w:rPr>
        <w:t>s</w:t>
      </w:r>
      <w:r w:rsidRPr="00CB4EE1">
        <w:rPr>
          <w:rFonts w:asciiTheme="majorBidi" w:hAnsiTheme="majorBidi" w:cstheme="majorBidi"/>
          <w:sz w:val="28"/>
          <w:szCs w:val="28"/>
        </w:rPr>
        <w:t xml:space="preserve"> </w:t>
      </w:r>
      <w:r w:rsidR="00CC6319" w:rsidRPr="00CB4EE1">
        <w:rPr>
          <w:rFonts w:asciiTheme="majorBidi" w:hAnsiTheme="majorBidi" w:cstheme="majorBidi"/>
          <w:sz w:val="28"/>
          <w:szCs w:val="28"/>
        </w:rPr>
        <w:t>Rapports d'Audit de Performance au titre des</w:t>
      </w:r>
      <w:r w:rsidRPr="00CB4EE1">
        <w:rPr>
          <w:rFonts w:asciiTheme="majorBidi" w:hAnsiTheme="majorBidi" w:cstheme="majorBidi"/>
          <w:sz w:val="28"/>
          <w:szCs w:val="28"/>
        </w:rPr>
        <w:t xml:space="preserve"> exercices </w:t>
      </w:r>
      <w:r w:rsidR="00CC6319" w:rsidRPr="00CB4EE1">
        <w:rPr>
          <w:rFonts w:asciiTheme="majorBidi" w:hAnsiTheme="majorBidi" w:cstheme="majorBidi"/>
          <w:sz w:val="28"/>
          <w:szCs w:val="28"/>
        </w:rPr>
        <w:t xml:space="preserve">budgétaires </w:t>
      </w:r>
      <w:r w:rsidRPr="00CB4EE1">
        <w:rPr>
          <w:rFonts w:asciiTheme="majorBidi" w:hAnsiTheme="majorBidi" w:cstheme="majorBidi"/>
          <w:sz w:val="28"/>
          <w:szCs w:val="28"/>
        </w:rPr>
        <w:t xml:space="preserve">2018 et 2019 </w:t>
      </w:r>
      <w:r w:rsidR="00CC6319" w:rsidRPr="00CB4EE1">
        <w:rPr>
          <w:rFonts w:asciiTheme="majorBidi" w:hAnsiTheme="majorBidi" w:cstheme="majorBidi"/>
          <w:sz w:val="28"/>
          <w:szCs w:val="28"/>
        </w:rPr>
        <w:t>ont</w:t>
      </w:r>
      <w:r w:rsidRPr="00CB4EE1">
        <w:rPr>
          <w:rFonts w:asciiTheme="majorBidi" w:hAnsiTheme="majorBidi" w:cstheme="majorBidi"/>
          <w:sz w:val="28"/>
          <w:szCs w:val="28"/>
        </w:rPr>
        <w:t xml:space="preserve"> </w:t>
      </w:r>
      <w:r w:rsidR="00CC6319" w:rsidRPr="00CB4EE1">
        <w:rPr>
          <w:rFonts w:asciiTheme="majorBidi" w:hAnsiTheme="majorBidi" w:cstheme="majorBidi"/>
          <w:sz w:val="28"/>
          <w:szCs w:val="28"/>
        </w:rPr>
        <w:t>soulevé</w:t>
      </w:r>
      <w:r w:rsidRPr="00CB4EE1">
        <w:rPr>
          <w:rFonts w:asciiTheme="majorBidi" w:hAnsiTheme="majorBidi" w:cstheme="majorBidi"/>
          <w:sz w:val="28"/>
          <w:szCs w:val="28"/>
        </w:rPr>
        <w:t xml:space="preserve"> plusieurs points positifs dont les principaux peuvent être résumés dans l'implication des départements ministériels et institutions concernés dans la démarche de performance, </w:t>
      </w:r>
      <w:r w:rsidR="00CC6319" w:rsidRPr="00CB4EE1">
        <w:rPr>
          <w:rFonts w:asciiTheme="majorBidi" w:hAnsiTheme="majorBidi" w:cstheme="majorBidi"/>
          <w:sz w:val="28"/>
          <w:szCs w:val="28"/>
        </w:rPr>
        <w:t>la déclinaison des</w:t>
      </w:r>
      <w:r w:rsidRPr="00CB4EE1">
        <w:rPr>
          <w:rFonts w:asciiTheme="majorBidi" w:hAnsiTheme="majorBidi" w:cstheme="majorBidi"/>
          <w:sz w:val="28"/>
          <w:szCs w:val="28"/>
        </w:rPr>
        <w:t xml:space="preserve"> programmes </w:t>
      </w:r>
      <w:r w:rsidR="00CC6319" w:rsidRPr="00CB4EE1">
        <w:rPr>
          <w:rFonts w:asciiTheme="majorBidi" w:hAnsiTheme="majorBidi" w:cstheme="majorBidi"/>
          <w:sz w:val="28"/>
          <w:szCs w:val="28"/>
        </w:rPr>
        <w:t xml:space="preserve">budgétaires </w:t>
      </w:r>
      <w:r w:rsidRPr="00CB4EE1">
        <w:rPr>
          <w:rFonts w:asciiTheme="majorBidi" w:hAnsiTheme="majorBidi" w:cstheme="majorBidi"/>
          <w:sz w:val="28"/>
          <w:szCs w:val="28"/>
        </w:rPr>
        <w:t>des stratégies ou des plans d'action des départemen</w:t>
      </w:r>
      <w:r w:rsidR="0071389A">
        <w:rPr>
          <w:rFonts w:asciiTheme="majorBidi" w:hAnsiTheme="majorBidi" w:cstheme="majorBidi"/>
          <w:sz w:val="28"/>
          <w:szCs w:val="28"/>
        </w:rPr>
        <w:t>ts ministériels et institutions en plus de</w:t>
      </w:r>
      <w:r w:rsidRPr="00CB4EE1">
        <w:rPr>
          <w:rFonts w:asciiTheme="majorBidi" w:hAnsiTheme="majorBidi" w:cstheme="majorBidi"/>
          <w:sz w:val="28"/>
          <w:szCs w:val="28"/>
        </w:rPr>
        <w:t xml:space="preserve"> la </w:t>
      </w:r>
      <w:r w:rsidR="00CC6319" w:rsidRPr="00CB4EE1">
        <w:rPr>
          <w:rFonts w:asciiTheme="majorBidi" w:hAnsiTheme="majorBidi" w:cstheme="majorBidi"/>
          <w:sz w:val="28"/>
          <w:szCs w:val="28"/>
        </w:rPr>
        <w:t>définition d’</w:t>
      </w:r>
      <w:r w:rsidRPr="00CB4EE1">
        <w:rPr>
          <w:rFonts w:asciiTheme="majorBidi" w:hAnsiTheme="majorBidi" w:cstheme="majorBidi"/>
          <w:sz w:val="28"/>
          <w:szCs w:val="28"/>
        </w:rPr>
        <w:t xml:space="preserve">objectifs </w:t>
      </w:r>
      <w:r w:rsidR="00CC6319" w:rsidRPr="00CB4EE1">
        <w:rPr>
          <w:rFonts w:asciiTheme="majorBidi" w:hAnsiTheme="majorBidi" w:cstheme="majorBidi"/>
          <w:sz w:val="28"/>
          <w:szCs w:val="28"/>
        </w:rPr>
        <w:t>pour la quasi-totalité</w:t>
      </w:r>
      <w:r w:rsidRPr="00CB4EE1">
        <w:rPr>
          <w:rFonts w:asciiTheme="majorBidi" w:hAnsiTheme="majorBidi" w:cstheme="majorBidi"/>
          <w:sz w:val="28"/>
          <w:szCs w:val="28"/>
        </w:rPr>
        <w:t xml:space="preserve"> </w:t>
      </w:r>
      <w:r w:rsidR="00617F03" w:rsidRPr="00CB4EE1">
        <w:rPr>
          <w:rFonts w:asciiTheme="majorBidi" w:hAnsiTheme="majorBidi" w:cstheme="majorBidi"/>
          <w:sz w:val="28"/>
          <w:szCs w:val="28"/>
        </w:rPr>
        <w:t>des programmes</w:t>
      </w:r>
      <w:r w:rsidR="00617F03" w:rsidRPr="00CB4EE1">
        <w:rPr>
          <w:rFonts w:asciiTheme="majorBidi" w:hAnsiTheme="majorBidi" w:cstheme="majorBidi"/>
          <w:sz w:val="28"/>
          <w:szCs w:val="28"/>
          <w:lang w:val="fr-MA"/>
        </w:rPr>
        <w:t xml:space="preserve"> assortis d’</w:t>
      </w:r>
      <w:r w:rsidRPr="00CB4EE1">
        <w:rPr>
          <w:rFonts w:asciiTheme="majorBidi" w:hAnsiTheme="majorBidi" w:cstheme="majorBidi"/>
          <w:sz w:val="28"/>
          <w:szCs w:val="28"/>
        </w:rPr>
        <w:t>indicateur</w:t>
      </w:r>
      <w:r w:rsidR="00617F03" w:rsidRPr="00CB4EE1">
        <w:rPr>
          <w:rFonts w:asciiTheme="majorBidi" w:hAnsiTheme="majorBidi" w:cstheme="majorBidi"/>
          <w:sz w:val="28"/>
          <w:szCs w:val="28"/>
        </w:rPr>
        <w:t>s de mesure de leur réalisation</w:t>
      </w:r>
      <w:r w:rsidRPr="00CB4EE1">
        <w:rPr>
          <w:rFonts w:asciiTheme="majorBidi" w:hAnsiTheme="majorBidi" w:cstheme="majorBidi"/>
          <w:sz w:val="28"/>
          <w:szCs w:val="28"/>
        </w:rPr>
        <w:t>.</w:t>
      </w:r>
    </w:p>
    <w:p w:rsidR="00617F03" w:rsidRPr="00CB4EE1" w:rsidRDefault="00617F03" w:rsidP="0071389A">
      <w:pPr>
        <w:jc w:val="both"/>
        <w:rPr>
          <w:rFonts w:asciiTheme="majorBidi" w:hAnsiTheme="majorBidi" w:cstheme="majorBidi"/>
          <w:sz w:val="28"/>
          <w:szCs w:val="28"/>
        </w:rPr>
      </w:pPr>
      <w:r w:rsidRPr="00CB4EE1">
        <w:rPr>
          <w:rFonts w:asciiTheme="majorBidi" w:hAnsiTheme="majorBidi" w:cstheme="majorBidi"/>
          <w:sz w:val="28"/>
          <w:szCs w:val="28"/>
        </w:rPr>
        <w:lastRenderedPageBreak/>
        <w:t xml:space="preserve">Quant aux recommandations prioritaires des deux rapports, elles ont </w:t>
      </w:r>
      <w:r w:rsidR="0071389A">
        <w:rPr>
          <w:rFonts w:asciiTheme="majorBidi" w:hAnsiTheme="majorBidi" w:cstheme="majorBidi"/>
          <w:sz w:val="28"/>
          <w:szCs w:val="28"/>
        </w:rPr>
        <w:t xml:space="preserve">gravité autours des </w:t>
      </w:r>
      <w:r w:rsidRPr="00CB4EE1">
        <w:rPr>
          <w:rFonts w:asciiTheme="majorBidi" w:hAnsiTheme="majorBidi" w:cstheme="majorBidi"/>
          <w:sz w:val="28"/>
          <w:szCs w:val="28"/>
        </w:rPr>
        <w:t xml:space="preserve">pistes d'amélioration de la démarche de performance et </w:t>
      </w:r>
      <w:r w:rsidR="0071389A">
        <w:rPr>
          <w:rFonts w:asciiTheme="majorBidi" w:hAnsiTheme="majorBidi" w:cstheme="majorBidi"/>
          <w:sz w:val="28"/>
          <w:szCs w:val="28"/>
        </w:rPr>
        <w:t xml:space="preserve">ont </w:t>
      </w:r>
      <w:r w:rsidRPr="00CB4EE1">
        <w:rPr>
          <w:rFonts w:asciiTheme="majorBidi" w:hAnsiTheme="majorBidi" w:cstheme="majorBidi"/>
          <w:sz w:val="28"/>
          <w:szCs w:val="28"/>
        </w:rPr>
        <w:t>mis l’accent sur les points suivants :</w:t>
      </w:r>
    </w:p>
    <w:p w:rsidR="00617F03" w:rsidRPr="00CB4EE1" w:rsidRDefault="00617F03" w:rsidP="00CB4EE1">
      <w:pPr>
        <w:jc w:val="both"/>
        <w:rPr>
          <w:rFonts w:asciiTheme="majorBidi" w:hAnsiTheme="majorBidi" w:cstheme="majorBidi"/>
          <w:sz w:val="28"/>
          <w:szCs w:val="28"/>
        </w:rPr>
      </w:pPr>
      <w:r w:rsidRPr="00CB4EE1">
        <w:rPr>
          <w:rFonts w:asciiTheme="majorBidi" w:hAnsiTheme="majorBidi" w:cstheme="majorBidi"/>
          <w:sz w:val="28"/>
          <w:szCs w:val="28"/>
        </w:rPr>
        <w:t>- Mettre en œuvre les mécanismes de pilotage et de suivi de la performance ;</w:t>
      </w:r>
    </w:p>
    <w:p w:rsidR="00617F03" w:rsidRPr="00CB4EE1" w:rsidRDefault="00617F03" w:rsidP="0071389A">
      <w:pPr>
        <w:jc w:val="both"/>
        <w:rPr>
          <w:rFonts w:asciiTheme="majorBidi" w:hAnsiTheme="majorBidi" w:cstheme="majorBidi"/>
          <w:sz w:val="28"/>
          <w:szCs w:val="28"/>
        </w:rPr>
      </w:pPr>
      <w:r w:rsidRPr="00CB4EE1">
        <w:rPr>
          <w:rFonts w:asciiTheme="majorBidi" w:hAnsiTheme="majorBidi" w:cstheme="majorBidi"/>
          <w:sz w:val="28"/>
          <w:szCs w:val="28"/>
        </w:rPr>
        <w:t xml:space="preserve">- Restructurer certains programmes de manière à assurer une meilleure </w:t>
      </w:r>
      <w:r w:rsidR="0071389A">
        <w:rPr>
          <w:rFonts w:asciiTheme="majorBidi" w:hAnsiTheme="majorBidi" w:cstheme="majorBidi"/>
          <w:sz w:val="28"/>
          <w:szCs w:val="28"/>
        </w:rPr>
        <w:t>traduction</w:t>
      </w:r>
      <w:r w:rsidRPr="00CB4EE1">
        <w:rPr>
          <w:rFonts w:asciiTheme="majorBidi" w:hAnsiTheme="majorBidi" w:cstheme="majorBidi"/>
          <w:sz w:val="28"/>
          <w:szCs w:val="28"/>
        </w:rPr>
        <w:t xml:space="preserve"> et cohérence avec les stratégies sectorielles et la programmation budgétaire pluriannuelle ;</w:t>
      </w:r>
    </w:p>
    <w:p w:rsidR="00617F03" w:rsidRPr="00CB4EE1" w:rsidRDefault="00617F03" w:rsidP="00CB4EE1">
      <w:pPr>
        <w:jc w:val="both"/>
        <w:rPr>
          <w:rFonts w:asciiTheme="majorBidi" w:hAnsiTheme="majorBidi" w:cstheme="majorBidi"/>
          <w:sz w:val="28"/>
          <w:szCs w:val="28"/>
        </w:rPr>
      </w:pPr>
      <w:r w:rsidRPr="00CB4EE1">
        <w:rPr>
          <w:rFonts w:asciiTheme="majorBidi" w:hAnsiTheme="majorBidi" w:cstheme="majorBidi"/>
          <w:sz w:val="28"/>
          <w:szCs w:val="28"/>
        </w:rPr>
        <w:t>- Définir des objectifs et adopter des indicateurs pertinents permettant de mesurer la performance ;</w:t>
      </w:r>
    </w:p>
    <w:p w:rsidR="00617F03" w:rsidRPr="00CB4EE1" w:rsidRDefault="00617F03" w:rsidP="00CB4EE1">
      <w:pPr>
        <w:jc w:val="both"/>
        <w:rPr>
          <w:rFonts w:asciiTheme="majorBidi" w:hAnsiTheme="majorBidi" w:cstheme="majorBidi"/>
          <w:sz w:val="28"/>
          <w:szCs w:val="28"/>
        </w:rPr>
      </w:pPr>
      <w:r w:rsidRPr="00CB4EE1">
        <w:rPr>
          <w:rFonts w:asciiTheme="majorBidi" w:hAnsiTheme="majorBidi" w:cstheme="majorBidi"/>
          <w:sz w:val="28"/>
          <w:szCs w:val="28"/>
        </w:rPr>
        <w:t xml:space="preserve">- </w:t>
      </w:r>
      <w:r w:rsidR="00417663" w:rsidRPr="00CB4EE1">
        <w:rPr>
          <w:rFonts w:asciiTheme="majorBidi" w:hAnsiTheme="majorBidi" w:cstheme="majorBidi"/>
          <w:sz w:val="28"/>
          <w:szCs w:val="28"/>
        </w:rPr>
        <w:t xml:space="preserve">Substituer </w:t>
      </w:r>
      <w:r w:rsidRPr="00CB4EE1">
        <w:rPr>
          <w:rFonts w:asciiTheme="majorBidi" w:hAnsiTheme="majorBidi" w:cstheme="majorBidi"/>
          <w:sz w:val="28"/>
          <w:szCs w:val="28"/>
        </w:rPr>
        <w:t xml:space="preserve"> </w:t>
      </w:r>
      <w:r w:rsidR="00417663" w:rsidRPr="00CB4EE1">
        <w:rPr>
          <w:rFonts w:asciiTheme="majorBidi" w:hAnsiTheme="majorBidi" w:cstheme="majorBidi"/>
          <w:sz w:val="28"/>
          <w:szCs w:val="28"/>
        </w:rPr>
        <w:t xml:space="preserve">les indicateurs d'activités et de moyens par </w:t>
      </w:r>
      <w:r w:rsidRPr="00CB4EE1">
        <w:rPr>
          <w:rFonts w:asciiTheme="majorBidi" w:hAnsiTheme="majorBidi" w:cstheme="majorBidi"/>
          <w:sz w:val="28"/>
          <w:szCs w:val="28"/>
        </w:rPr>
        <w:t xml:space="preserve">des indicateurs de performance, pour mesurer l’atteinte des objectifs fixés, </w:t>
      </w:r>
      <w:r w:rsidR="00417663" w:rsidRPr="00CB4EE1">
        <w:rPr>
          <w:rFonts w:asciiTheme="majorBidi" w:hAnsiTheme="majorBidi" w:cstheme="majorBidi"/>
          <w:sz w:val="28"/>
          <w:szCs w:val="28"/>
        </w:rPr>
        <w:t xml:space="preserve">tout </w:t>
      </w:r>
      <w:r w:rsidRPr="00CB4EE1">
        <w:rPr>
          <w:rFonts w:asciiTheme="majorBidi" w:hAnsiTheme="majorBidi" w:cstheme="majorBidi"/>
          <w:sz w:val="28"/>
          <w:szCs w:val="28"/>
        </w:rPr>
        <w:t>en privilégiant les indicateurs de mesure de la qualité du service rendu aux usagers ;</w:t>
      </w:r>
    </w:p>
    <w:p w:rsidR="00617F03" w:rsidRPr="00CB4EE1" w:rsidRDefault="00617F03" w:rsidP="0071389A">
      <w:pPr>
        <w:jc w:val="both"/>
        <w:rPr>
          <w:rFonts w:asciiTheme="majorBidi" w:hAnsiTheme="majorBidi" w:cstheme="majorBidi"/>
          <w:sz w:val="28"/>
          <w:szCs w:val="28"/>
        </w:rPr>
      </w:pPr>
      <w:r w:rsidRPr="00CB4EE1">
        <w:rPr>
          <w:rFonts w:asciiTheme="majorBidi" w:hAnsiTheme="majorBidi" w:cstheme="majorBidi"/>
          <w:sz w:val="28"/>
          <w:szCs w:val="28"/>
        </w:rPr>
        <w:t xml:space="preserve">- </w:t>
      </w:r>
      <w:r w:rsidR="00282E69" w:rsidRPr="00CB4EE1">
        <w:rPr>
          <w:rFonts w:asciiTheme="majorBidi" w:hAnsiTheme="majorBidi" w:cstheme="majorBidi"/>
          <w:sz w:val="28"/>
          <w:szCs w:val="28"/>
        </w:rPr>
        <w:t xml:space="preserve">Veiller </w:t>
      </w:r>
      <w:r w:rsidR="00417663" w:rsidRPr="00CB4EE1">
        <w:rPr>
          <w:rFonts w:asciiTheme="majorBidi" w:hAnsiTheme="majorBidi" w:cstheme="majorBidi"/>
          <w:sz w:val="28"/>
          <w:szCs w:val="28"/>
        </w:rPr>
        <w:t xml:space="preserve">sur la </w:t>
      </w:r>
      <w:r w:rsidRPr="00CB4EE1">
        <w:rPr>
          <w:rFonts w:asciiTheme="majorBidi" w:hAnsiTheme="majorBidi" w:cstheme="majorBidi"/>
          <w:sz w:val="28"/>
          <w:szCs w:val="28"/>
        </w:rPr>
        <w:t xml:space="preserve"> fiabilité</w:t>
      </w:r>
      <w:r w:rsidR="00417663" w:rsidRPr="00CB4EE1">
        <w:rPr>
          <w:rFonts w:asciiTheme="majorBidi" w:hAnsiTheme="majorBidi" w:cstheme="majorBidi"/>
          <w:sz w:val="28"/>
          <w:szCs w:val="28"/>
        </w:rPr>
        <w:t xml:space="preserve"> et </w:t>
      </w:r>
      <w:r w:rsidR="00282E69" w:rsidRPr="00CB4EE1">
        <w:rPr>
          <w:rFonts w:asciiTheme="majorBidi" w:hAnsiTheme="majorBidi" w:cstheme="majorBidi"/>
          <w:sz w:val="28"/>
          <w:szCs w:val="28"/>
        </w:rPr>
        <w:t xml:space="preserve">la </w:t>
      </w:r>
      <w:r w:rsidR="00417663" w:rsidRPr="00CB4EE1">
        <w:rPr>
          <w:rFonts w:asciiTheme="majorBidi" w:hAnsiTheme="majorBidi" w:cstheme="majorBidi"/>
          <w:sz w:val="28"/>
          <w:szCs w:val="28"/>
        </w:rPr>
        <w:t xml:space="preserve">précision dans le </w:t>
      </w:r>
      <w:r w:rsidRPr="00CB4EE1">
        <w:rPr>
          <w:rFonts w:asciiTheme="majorBidi" w:hAnsiTheme="majorBidi" w:cstheme="majorBidi"/>
          <w:sz w:val="28"/>
          <w:szCs w:val="28"/>
        </w:rPr>
        <w:t xml:space="preserve">calcul et la présentation des résultats </w:t>
      </w:r>
      <w:r w:rsidR="0071389A">
        <w:rPr>
          <w:rFonts w:asciiTheme="majorBidi" w:hAnsiTheme="majorBidi" w:cstheme="majorBidi"/>
          <w:sz w:val="28"/>
          <w:szCs w:val="28"/>
        </w:rPr>
        <w:t>des</w:t>
      </w:r>
      <w:r w:rsidRPr="00CB4EE1">
        <w:rPr>
          <w:rFonts w:asciiTheme="majorBidi" w:hAnsiTheme="majorBidi" w:cstheme="majorBidi"/>
          <w:sz w:val="28"/>
          <w:szCs w:val="28"/>
        </w:rPr>
        <w:t xml:space="preserve"> indicateurs ;</w:t>
      </w:r>
    </w:p>
    <w:p w:rsidR="00617F03" w:rsidRPr="00CB4EE1" w:rsidRDefault="00617F03" w:rsidP="00E24808">
      <w:pPr>
        <w:jc w:val="both"/>
        <w:rPr>
          <w:rFonts w:asciiTheme="majorBidi" w:hAnsiTheme="majorBidi" w:cstheme="majorBidi"/>
          <w:sz w:val="28"/>
          <w:szCs w:val="28"/>
        </w:rPr>
      </w:pPr>
      <w:r w:rsidRPr="00CB4EE1">
        <w:rPr>
          <w:rFonts w:asciiTheme="majorBidi" w:hAnsiTheme="majorBidi" w:cstheme="majorBidi"/>
          <w:sz w:val="28"/>
          <w:szCs w:val="28"/>
        </w:rPr>
        <w:t xml:space="preserve">- </w:t>
      </w:r>
      <w:r w:rsidR="00282E69" w:rsidRPr="00CB4EE1">
        <w:rPr>
          <w:rFonts w:asciiTheme="majorBidi" w:hAnsiTheme="majorBidi" w:cstheme="majorBidi"/>
          <w:sz w:val="28"/>
          <w:szCs w:val="28"/>
        </w:rPr>
        <w:t xml:space="preserve">Œuvrer </w:t>
      </w:r>
      <w:r w:rsidRPr="00CB4EE1">
        <w:rPr>
          <w:rFonts w:asciiTheme="majorBidi" w:hAnsiTheme="majorBidi" w:cstheme="majorBidi"/>
          <w:sz w:val="28"/>
          <w:szCs w:val="28"/>
        </w:rPr>
        <w:t>au développement de</w:t>
      </w:r>
      <w:r w:rsidR="0071389A">
        <w:rPr>
          <w:rFonts w:asciiTheme="majorBidi" w:hAnsiTheme="majorBidi" w:cstheme="majorBidi"/>
          <w:sz w:val="28"/>
          <w:szCs w:val="28"/>
        </w:rPr>
        <w:t>s</w:t>
      </w:r>
      <w:r w:rsidRPr="00CB4EE1">
        <w:rPr>
          <w:rFonts w:asciiTheme="majorBidi" w:hAnsiTheme="majorBidi" w:cstheme="majorBidi"/>
          <w:sz w:val="28"/>
          <w:szCs w:val="28"/>
        </w:rPr>
        <w:t xml:space="preserve"> systèmes d'information </w:t>
      </w:r>
      <w:r w:rsidR="0071389A">
        <w:rPr>
          <w:rFonts w:asciiTheme="majorBidi" w:hAnsiTheme="majorBidi" w:cstheme="majorBidi"/>
          <w:sz w:val="28"/>
          <w:szCs w:val="28"/>
        </w:rPr>
        <w:t>en charge</w:t>
      </w:r>
      <w:r w:rsidRPr="00CB4EE1">
        <w:rPr>
          <w:rFonts w:asciiTheme="majorBidi" w:hAnsiTheme="majorBidi" w:cstheme="majorBidi"/>
          <w:sz w:val="28"/>
          <w:szCs w:val="28"/>
        </w:rPr>
        <w:t xml:space="preserve"> de </w:t>
      </w:r>
      <w:r w:rsidR="0071389A">
        <w:rPr>
          <w:rFonts w:asciiTheme="majorBidi" w:hAnsiTheme="majorBidi" w:cstheme="majorBidi"/>
          <w:sz w:val="28"/>
          <w:szCs w:val="28"/>
        </w:rPr>
        <w:t>la production</w:t>
      </w:r>
      <w:r w:rsidRPr="00CB4EE1">
        <w:rPr>
          <w:rFonts w:asciiTheme="majorBidi" w:hAnsiTheme="majorBidi" w:cstheme="majorBidi"/>
          <w:sz w:val="28"/>
          <w:szCs w:val="28"/>
        </w:rPr>
        <w:t xml:space="preserve">, </w:t>
      </w:r>
      <w:r w:rsidR="0071389A">
        <w:rPr>
          <w:rFonts w:asciiTheme="majorBidi" w:hAnsiTheme="majorBidi" w:cstheme="majorBidi"/>
          <w:sz w:val="28"/>
          <w:szCs w:val="28"/>
        </w:rPr>
        <w:t>l’exploitation</w:t>
      </w:r>
      <w:r w:rsidRPr="00CB4EE1">
        <w:rPr>
          <w:rFonts w:asciiTheme="majorBidi" w:hAnsiTheme="majorBidi" w:cstheme="majorBidi"/>
          <w:sz w:val="28"/>
          <w:szCs w:val="28"/>
        </w:rPr>
        <w:t xml:space="preserve"> et </w:t>
      </w:r>
      <w:r w:rsidR="0071389A">
        <w:rPr>
          <w:rFonts w:asciiTheme="majorBidi" w:hAnsiTheme="majorBidi" w:cstheme="majorBidi"/>
          <w:sz w:val="28"/>
          <w:szCs w:val="28"/>
        </w:rPr>
        <w:t>la sauvegard</w:t>
      </w:r>
      <w:r w:rsidR="00E24808">
        <w:rPr>
          <w:rFonts w:asciiTheme="majorBidi" w:hAnsiTheme="majorBidi" w:cstheme="majorBidi"/>
          <w:sz w:val="28"/>
          <w:szCs w:val="28"/>
        </w:rPr>
        <w:t>e</w:t>
      </w:r>
      <w:r w:rsidR="0071389A">
        <w:rPr>
          <w:rFonts w:asciiTheme="majorBidi" w:hAnsiTheme="majorBidi" w:cstheme="majorBidi"/>
          <w:sz w:val="28"/>
          <w:szCs w:val="28"/>
        </w:rPr>
        <w:t xml:space="preserve"> d</w:t>
      </w:r>
      <w:r w:rsidRPr="00CB4EE1">
        <w:rPr>
          <w:rFonts w:asciiTheme="majorBidi" w:hAnsiTheme="majorBidi" w:cstheme="majorBidi"/>
          <w:sz w:val="28"/>
          <w:szCs w:val="28"/>
        </w:rPr>
        <w:t>es données liées aux programmes.</w:t>
      </w:r>
    </w:p>
    <w:p w:rsidR="00282E69" w:rsidRPr="00CB4EE1" w:rsidRDefault="00282E69" w:rsidP="00E24808">
      <w:pPr>
        <w:jc w:val="both"/>
        <w:rPr>
          <w:rFonts w:asciiTheme="majorBidi" w:hAnsiTheme="majorBidi" w:cstheme="majorBidi"/>
          <w:sz w:val="28"/>
          <w:szCs w:val="28"/>
        </w:rPr>
      </w:pPr>
      <w:r w:rsidRPr="00CB4EE1">
        <w:rPr>
          <w:rFonts w:asciiTheme="majorBidi" w:hAnsiTheme="majorBidi" w:cstheme="majorBidi"/>
          <w:sz w:val="28"/>
          <w:szCs w:val="28"/>
        </w:rPr>
        <w:t xml:space="preserve">Aussi, et comme vous le </w:t>
      </w:r>
      <w:r w:rsidR="0071389A" w:rsidRPr="00CB4EE1">
        <w:rPr>
          <w:rFonts w:asciiTheme="majorBidi" w:hAnsiTheme="majorBidi" w:cstheme="majorBidi"/>
          <w:sz w:val="28"/>
          <w:szCs w:val="28"/>
        </w:rPr>
        <w:t>savez</w:t>
      </w:r>
      <w:r w:rsidRPr="00CB4EE1">
        <w:rPr>
          <w:rFonts w:asciiTheme="majorBidi" w:hAnsiTheme="majorBidi" w:cstheme="majorBidi"/>
          <w:sz w:val="28"/>
          <w:szCs w:val="28"/>
        </w:rPr>
        <w:t xml:space="preserve">, un accompagnement a été déployés au profit des départements ministériels et institutions pour s'approprier la nouvelle approche budgétaire, notamment à travers la </w:t>
      </w:r>
      <w:r w:rsidR="0071389A">
        <w:rPr>
          <w:rFonts w:asciiTheme="majorBidi" w:hAnsiTheme="majorBidi" w:cstheme="majorBidi"/>
          <w:sz w:val="28"/>
          <w:szCs w:val="28"/>
        </w:rPr>
        <w:t>diffusion</w:t>
      </w:r>
      <w:r w:rsidRPr="00CB4EE1">
        <w:rPr>
          <w:rFonts w:asciiTheme="majorBidi" w:hAnsiTheme="majorBidi" w:cstheme="majorBidi"/>
          <w:sz w:val="28"/>
          <w:szCs w:val="28"/>
        </w:rPr>
        <w:t xml:space="preserve"> d'un ensemble de référentiels et modèles méthodologiques, régulièrement mis à jour à la lumière des bilans et exigences de la mise en œuvre des différents axes de la réforme budgétaire.</w:t>
      </w:r>
    </w:p>
    <w:p w:rsidR="00282E69" w:rsidRPr="00CB4EE1" w:rsidRDefault="00282E69" w:rsidP="0071389A">
      <w:pPr>
        <w:jc w:val="both"/>
        <w:rPr>
          <w:rFonts w:asciiTheme="majorBidi" w:hAnsiTheme="majorBidi" w:cstheme="majorBidi"/>
          <w:sz w:val="28"/>
          <w:szCs w:val="28"/>
        </w:rPr>
      </w:pPr>
      <w:r w:rsidRPr="00CB4EE1">
        <w:rPr>
          <w:rFonts w:asciiTheme="majorBidi" w:hAnsiTheme="majorBidi" w:cstheme="majorBidi"/>
          <w:sz w:val="28"/>
          <w:szCs w:val="28"/>
        </w:rPr>
        <w:t>Dans ce cadre, et dans le prolongement de l’approche de progressivité, d’évaluation et d’ajustement périodiques  qui a caractérise</w:t>
      </w:r>
      <w:r w:rsidR="00A17C54" w:rsidRPr="00CB4EE1">
        <w:rPr>
          <w:rFonts w:asciiTheme="majorBidi" w:hAnsiTheme="majorBidi" w:cstheme="majorBidi"/>
          <w:sz w:val="28"/>
          <w:szCs w:val="28"/>
        </w:rPr>
        <w:t xml:space="preserve"> la mise en œuvre de la Loi O</w:t>
      </w:r>
      <w:r w:rsidRPr="00CB4EE1">
        <w:rPr>
          <w:rFonts w:asciiTheme="majorBidi" w:hAnsiTheme="majorBidi" w:cstheme="majorBidi"/>
          <w:sz w:val="28"/>
          <w:szCs w:val="28"/>
        </w:rPr>
        <w:t xml:space="preserve">rganique n° 130-13 </w:t>
      </w:r>
      <w:r w:rsidR="00A17C54" w:rsidRPr="00CB4EE1">
        <w:rPr>
          <w:rFonts w:asciiTheme="majorBidi" w:hAnsiTheme="majorBidi" w:cstheme="majorBidi"/>
          <w:sz w:val="28"/>
          <w:szCs w:val="28"/>
        </w:rPr>
        <w:t>relative à la loi de F</w:t>
      </w:r>
      <w:r w:rsidRPr="00CB4EE1">
        <w:rPr>
          <w:rFonts w:asciiTheme="majorBidi" w:hAnsiTheme="majorBidi" w:cstheme="majorBidi"/>
          <w:sz w:val="28"/>
          <w:szCs w:val="28"/>
        </w:rPr>
        <w:t xml:space="preserve">inances, </w:t>
      </w:r>
      <w:r w:rsidR="00A17C54" w:rsidRPr="00CB4EE1">
        <w:rPr>
          <w:rFonts w:asciiTheme="majorBidi" w:hAnsiTheme="majorBidi" w:cstheme="majorBidi"/>
          <w:sz w:val="28"/>
          <w:szCs w:val="28"/>
        </w:rPr>
        <w:t>la présente circulaire</w:t>
      </w:r>
      <w:r w:rsidRPr="00CB4EE1">
        <w:rPr>
          <w:rFonts w:asciiTheme="majorBidi" w:hAnsiTheme="majorBidi" w:cstheme="majorBidi"/>
          <w:sz w:val="28"/>
          <w:szCs w:val="28"/>
        </w:rPr>
        <w:t xml:space="preserve"> </w:t>
      </w:r>
      <w:r w:rsidR="00A17C54" w:rsidRPr="00CB4EE1">
        <w:rPr>
          <w:rFonts w:asciiTheme="majorBidi" w:hAnsiTheme="majorBidi" w:cstheme="majorBidi"/>
          <w:sz w:val="28"/>
          <w:szCs w:val="28"/>
        </w:rPr>
        <w:t>vise à capitaliser</w:t>
      </w:r>
      <w:r w:rsidRPr="00CB4EE1">
        <w:rPr>
          <w:rFonts w:asciiTheme="majorBidi" w:hAnsiTheme="majorBidi" w:cstheme="majorBidi"/>
          <w:sz w:val="28"/>
          <w:szCs w:val="28"/>
        </w:rPr>
        <w:t xml:space="preserve"> les enseignements </w:t>
      </w:r>
      <w:r w:rsidR="0071389A">
        <w:rPr>
          <w:rFonts w:asciiTheme="majorBidi" w:hAnsiTheme="majorBidi" w:cstheme="majorBidi"/>
          <w:sz w:val="28"/>
          <w:szCs w:val="28"/>
        </w:rPr>
        <w:t xml:space="preserve">tirés </w:t>
      </w:r>
      <w:r w:rsidRPr="00CB4EE1">
        <w:rPr>
          <w:rFonts w:asciiTheme="majorBidi" w:hAnsiTheme="majorBidi" w:cstheme="majorBidi"/>
          <w:sz w:val="28"/>
          <w:szCs w:val="28"/>
        </w:rPr>
        <w:t xml:space="preserve">du bilan actuel de la mise en </w:t>
      </w:r>
      <w:r w:rsidR="00A17C54" w:rsidRPr="00CB4EE1">
        <w:rPr>
          <w:rFonts w:asciiTheme="majorBidi" w:hAnsiTheme="majorBidi" w:cstheme="majorBidi"/>
          <w:sz w:val="28"/>
          <w:szCs w:val="28"/>
        </w:rPr>
        <w:t>œuvre</w:t>
      </w:r>
      <w:r w:rsidRPr="00CB4EE1">
        <w:rPr>
          <w:rFonts w:asciiTheme="majorBidi" w:hAnsiTheme="majorBidi" w:cstheme="majorBidi"/>
          <w:sz w:val="28"/>
          <w:szCs w:val="28"/>
        </w:rPr>
        <w:t xml:space="preserve"> de la démarche de performance, </w:t>
      </w:r>
      <w:r w:rsidR="00A17C54" w:rsidRPr="00CB4EE1">
        <w:rPr>
          <w:rFonts w:asciiTheme="majorBidi" w:hAnsiTheme="majorBidi" w:cstheme="majorBidi"/>
          <w:sz w:val="28"/>
          <w:szCs w:val="28"/>
        </w:rPr>
        <w:t>notamment, l’identification des mesures</w:t>
      </w:r>
      <w:r w:rsidRPr="00CB4EE1">
        <w:rPr>
          <w:rFonts w:asciiTheme="majorBidi" w:hAnsiTheme="majorBidi" w:cstheme="majorBidi"/>
          <w:sz w:val="28"/>
          <w:szCs w:val="28"/>
        </w:rPr>
        <w:t xml:space="preserve"> à </w:t>
      </w:r>
      <w:r w:rsidR="0071389A">
        <w:rPr>
          <w:rFonts w:asciiTheme="majorBidi" w:hAnsiTheme="majorBidi" w:cstheme="majorBidi"/>
          <w:sz w:val="28"/>
          <w:szCs w:val="28"/>
        </w:rPr>
        <w:t>déployer</w:t>
      </w:r>
      <w:r w:rsidRPr="00CB4EE1">
        <w:rPr>
          <w:rFonts w:asciiTheme="majorBidi" w:hAnsiTheme="majorBidi" w:cstheme="majorBidi"/>
          <w:sz w:val="28"/>
          <w:szCs w:val="28"/>
        </w:rPr>
        <w:t xml:space="preserve"> </w:t>
      </w:r>
      <w:r w:rsidR="00A17C54" w:rsidRPr="00CB4EE1">
        <w:rPr>
          <w:rFonts w:asciiTheme="majorBidi" w:hAnsiTheme="majorBidi" w:cstheme="majorBidi"/>
          <w:sz w:val="28"/>
          <w:szCs w:val="28"/>
        </w:rPr>
        <w:t xml:space="preserve">en vue </w:t>
      </w:r>
      <w:r w:rsidRPr="00CB4EE1">
        <w:rPr>
          <w:rFonts w:asciiTheme="majorBidi" w:hAnsiTheme="majorBidi" w:cstheme="majorBidi"/>
          <w:sz w:val="28"/>
          <w:szCs w:val="28"/>
        </w:rPr>
        <w:t xml:space="preserve">de surmonter les défaillances décelées au niveau des </w:t>
      </w:r>
      <w:r w:rsidR="00A17C54" w:rsidRPr="00CB4EE1">
        <w:rPr>
          <w:rFonts w:asciiTheme="majorBidi" w:hAnsiTheme="majorBidi" w:cstheme="majorBidi"/>
          <w:sz w:val="28"/>
          <w:szCs w:val="28"/>
        </w:rPr>
        <w:t>R</w:t>
      </w:r>
      <w:r w:rsidRPr="00CB4EE1">
        <w:rPr>
          <w:rFonts w:asciiTheme="majorBidi" w:hAnsiTheme="majorBidi" w:cstheme="majorBidi"/>
          <w:sz w:val="28"/>
          <w:szCs w:val="28"/>
        </w:rPr>
        <w:t>apports d'</w:t>
      </w:r>
      <w:r w:rsidR="00A17C54" w:rsidRPr="00CB4EE1">
        <w:rPr>
          <w:rFonts w:asciiTheme="majorBidi" w:hAnsiTheme="majorBidi" w:cstheme="majorBidi"/>
          <w:sz w:val="28"/>
          <w:szCs w:val="28"/>
        </w:rPr>
        <w:t>A</w:t>
      </w:r>
      <w:r w:rsidRPr="00CB4EE1">
        <w:rPr>
          <w:rFonts w:asciiTheme="majorBidi" w:hAnsiTheme="majorBidi" w:cstheme="majorBidi"/>
          <w:sz w:val="28"/>
          <w:szCs w:val="28"/>
        </w:rPr>
        <w:t xml:space="preserve">udit de </w:t>
      </w:r>
      <w:r w:rsidR="00A17C54" w:rsidRPr="00CB4EE1">
        <w:rPr>
          <w:rFonts w:asciiTheme="majorBidi" w:hAnsiTheme="majorBidi" w:cstheme="majorBidi"/>
          <w:sz w:val="28"/>
          <w:szCs w:val="28"/>
        </w:rPr>
        <w:t>P</w:t>
      </w:r>
      <w:r w:rsidRPr="00CB4EE1">
        <w:rPr>
          <w:rFonts w:asciiTheme="majorBidi" w:hAnsiTheme="majorBidi" w:cstheme="majorBidi"/>
          <w:sz w:val="28"/>
          <w:szCs w:val="28"/>
        </w:rPr>
        <w:t xml:space="preserve">erformance. Cette circulaire vise également à </w:t>
      </w:r>
      <w:r w:rsidR="00A17C54" w:rsidRPr="00CB4EE1">
        <w:rPr>
          <w:rFonts w:asciiTheme="majorBidi" w:hAnsiTheme="majorBidi" w:cstheme="majorBidi"/>
          <w:sz w:val="28"/>
          <w:szCs w:val="28"/>
        </w:rPr>
        <w:t>harmoniser</w:t>
      </w:r>
      <w:r w:rsidRPr="00CB4EE1">
        <w:rPr>
          <w:rFonts w:asciiTheme="majorBidi" w:hAnsiTheme="majorBidi" w:cstheme="majorBidi"/>
          <w:sz w:val="28"/>
          <w:szCs w:val="28"/>
        </w:rPr>
        <w:t xml:space="preserve"> </w:t>
      </w:r>
      <w:r w:rsidR="00A17C54" w:rsidRPr="00CB4EE1">
        <w:rPr>
          <w:rFonts w:asciiTheme="majorBidi" w:hAnsiTheme="majorBidi" w:cstheme="majorBidi"/>
          <w:sz w:val="28"/>
          <w:szCs w:val="28"/>
        </w:rPr>
        <w:t>l</w:t>
      </w:r>
      <w:r w:rsidRPr="00CB4EE1">
        <w:rPr>
          <w:rFonts w:asciiTheme="majorBidi" w:hAnsiTheme="majorBidi" w:cstheme="majorBidi"/>
          <w:sz w:val="28"/>
          <w:szCs w:val="28"/>
        </w:rPr>
        <w:t xml:space="preserve">es programmes support entre les différents départements ministériels et institutions afin d'unifier le dispositif de performance </w:t>
      </w:r>
      <w:r w:rsidR="00A17C54" w:rsidRPr="00CB4EE1">
        <w:rPr>
          <w:rFonts w:asciiTheme="majorBidi" w:hAnsiTheme="majorBidi" w:cstheme="majorBidi"/>
          <w:sz w:val="28"/>
          <w:szCs w:val="28"/>
        </w:rPr>
        <w:t>y</w:t>
      </w:r>
      <w:r w:rsidRPr="00CB4EE1">
        <w:rPr>
          <w:rFonts w:asciiTheme="majorBidi" w:hAnsiTheme="majorBidi" w:cstheme="majorBidi"/>
          <w:sz w:val="28"/>
          <w:szCs w:val="28"/>
        </w:rPr>
        <w:t xml:space="preserve"> associé, </w:t>
      </w:r>
      <w:r w:rsidR="00A17C54" w:rsidRPr="00CB4EE1">
        <w:rPr>
          <w:rFonts w:asciiTheme="majorBidi" w:hAnsiTheme="majorBidi" w:cstheme="majorBidi"/>
          <w:sz w:val="28"/>
          <w:szCs w:val="28"/>
        </w:rPr>
        <w:t xml:space="preserve">ce qui permettrait d’établir une base de comparaison </w:t>
      </w:r>
      <w:r w:rsidRPr="00CB4EE1">
        <w:rPr>
          <w:rFonts w:asciiTheme="majorBidi" w:hAnsiTheme="majorBidi" w:cstheme="majorBidi"/>
          <w:sz w:val="28"/>
          <w:szCs w:val="28"/>
        </w:rPr>
        <w:t>entre les différents départements ministériels et institutions.</w:t>
      </w:r>
    </w:p>
    <w:p w:rsidR="00A17C54" w:rsidRPr="00CB4EE1" w:rsidRDefault="00A17C54" w:rsidP="00CB4EE1">
      <w:pPr>
        <w:jc w:val="both"/>
        <w:rPr>
          <w:rFonts w:asciiTheme="majorBidi" w:hAnsiTheme="majorBidi" w:cstheme="majorBidi"/>
          <w:sz w:val="28"/>
          <w:szCs w:val="28"/>
        </w:rPr>
      </w:pPr>
      <w:r w:rsidRPr="00CB4EE1">
        <w:rPr>
          <w:rFonts w:asciiTheme="majorBidi" w:hAnsiTheme="majorBidi" w:cstheme="majorBidi"/>
          <w:sz w:val="28"/>
          <w:szCs w:val="28"/>
        </w:rPr>
        <w:t xml:space="preserve">Ainsi, </w:t>
      </w:r>
      <w:r w:rsidR="0077716F" w:rsidRPr="00CB4EE1">
        <w:rPr>
          <w:rFonts w:asciiTheme="majorBidi" w:hAnsiTheme="majorBidi" w:cstheme="majorBidi"/>
          <w:sz w:val="28"/>
          <w:szCs w:val="28"/>
        </w:rPr>
        <w:t>en addition aux critères</w:t>
      </w:r>
      <w:r w:rsidRPr="00CB4EE1">
        <w:rPr>
          <w:rFonts w:asciiTheme="majorBidi" w:hAnsiTheme="majorBidi" w:cstheme="majorBidi"/>
          <w:sz w:val="28"/>
          <w:szCs w:val="28"/>
        </w:rPr>
        <w:t xml:space="preserve"> méthodologiques </w:t>
      </w:r>
      <w:r w:rsidR="0077716F" w:rsidRPr="00CB4EE1">
        <w:rPr>
          <w:rFonts w:asciiTheme="majorBidi" w:hAnsiTheme="majorBidi" w:cstheme="majorBidi"/>
          <w:sz w:val="28"/>
          <w:szCs w:val="28"/>
        </w:rPr>
        <w:t>contenus</w:t>
      </w:r>
      <w:r w:rsidRPr="00CB4EE1">
        <w:rPr>
          <w:rFonts w:asciiTheme="majorBidi" w:hAnsiTheme="majorBidi" w:cstheme="majorBidi"/>
          <w:sz w:val="28"/>
          <w:szCs w:val="28"/>
        </w:rPr>
        <w:t xml:space="preserve"> dans les guides pratiques de la performance et dans le modèle du </w:t>
      </w:r>
      <w:r w:rsidR="0077716F" w:rsidRPr="00CB4EE1">
        <w:rPr>
          <w:rFonts w:asciiTheme="majorBidi" w:hAnsiTheme="majorBidi" w:cstheme="majorBidi"/>
          <w:sz w:val="28"/>
          <w:szCs w:val="28"/>
        </w:rPr>
        <w:t>P</w:t>
      </w:r>
      <w:r w:rsidRPr="00CB4EE1">
        <w:rPr>
          <w:rFonts w:asciiTheme="majorBidi" w:hAnsiTheme="majorBidi" w:cstheme="majorBidi"/>
          <w:sz w:val="28"/>
          <w:szCs w:val="28"/>
        </w:rPr>
        <w:t xml:space="preserve">rojet de </w:t>
      </w:r>
      <w:r w:rsidR="0077716F" w:rsidRPr="00CB4EE1">
        <w:rPr>
          <w:rFonts w:asciiTheme="majorBidi" w:hAnsiTheme="majorBidi" w:cstheme="majorBidi"/>
          <w:sz w:val="28"/>
          <w:szCs w:val="28"/>
        </w:rPr>
        <w:t>P</w:t>
      </w:r>
      <w:r w:rsidRPr="00CB4EE1">
        <w:rPr>
          <w:rFonts w:asciiTheme="majorBidi" w:hAnsiTheme="majorBidi" w:cstheme="majorBidi"/>
          <w:sz w:val="28"/>
          <w:szCs w:val="28"/>
        </w:rPr>
        <w:t xml:space="preserve">erformance, le dispositif de la performance des départements ministériels et institutions doit </w:t>
      </w:r>
      <w:r w:rsidR="0077716F" w:rsidRPr="00CB4EE1">
        <w:rPr>
          <w:rFonts w:asciiTheme="majorBidi" w:hAnsiTheme="majorBidi" w:cstheme="majorBidi"/>
          <w:sz w:val="28"/>
          <w:szCs w:val="28"/>
        </w:rPr>
        <w:t xml:space="preserve">s’aligner sur </w:t>
      </w:r>
      <w:r w:rsidRPr="00CB4EE1">
        <w:rPr>
          <w:rFonts w:asciiTheme="majorBidi" w:hAnsiTheme="majorBidi" w:cstheme="majorBidi"/>
          <w:sz w:val="28"/>
          <w:szCs w:val="28"/>
        </w:rPr>
        <w:t xml:space="preserve">les </w:t>
      </w:r>
      <w:r w:rsidR="0077716F" w:rsidRPr="00CB4EE1">
        <w:rPr>
          <w:rFonts w:asciiTheme="majorBidi" w:hAnsiTheme="majorBidi" w:cstheme="majorBidi"/>
          <w:sz w:val="28"/>
          <w:szCs w:val="28"/>
        </w:rPr>
        <w:t xml:space="preserve">critères </w:t>
      </w:r>
      <w:r w:rsidRPr="00CB4EE1">
        <w:rPr>
          <w:rFonts w:asciiTheme="majorBidi" w:hAnsiTheme="majorBidi" w:cstheme="majorBidi"/>
          <w:sz w:val="28"/>
          <w:szCs w:val="28"/>
        </w:rPr>
        <w:t>référentiels suivants :</w:t>
      </w:r>
    </w:p>
    <w:p w:rsidR="0077716F" w:rsidRPr="00CB4EE1" w:rsidRDefault="0077716F" w:rsidP="00CB4EE1">
      <w:pPr>
        <w:pStyle w:val="Paragraphedeliste"/>
        <w:numPr>
          <w:ilvl w:val="0"/>
          <w:numId w:val="21"/>
        </w:numPr>
        <w:jc w:val="both"/>
        <w:rPr>
          <w:rFonts w:asciiTheme="majorBidi" w:hAnsiTheme="majorBidi" w:cstheme="majorBidi"/>
          <w:b/>
          <w:bCs/>
          <w:sz w:val="28"/>
          <w:szCs w:val="28"/>
        </w:rPr>
      </w:pPr>
      <w:r w:rsidRPr="00CB4EE1">
        <w:rPr>
          <w:rFonts w:asciiTheme="majorBidi" w:hAnsiTheme="majorBidi" w:cstheme="majorBidi"/>
          <w:b/>
          <w:bCs/>
          <w:sz w:val="28"/>
          <w:szCs w:val="28"/>
        </w:rPr>
        <w:lastRenderedPageBreak/>
        <w:t>Au niveau de la structuration du budget autour des programmes :</w:t>
      </w:r>
    </w:p>
    <w:p w:rsidR="0077716F" w:rsidRPr="00CB4EE1" w:rsidRDefault="0077716F" w:rsidP="009205B1">
      <w:pPr>
        <w:jc w:val="both"/>
        <w:rPr>
          <w:rFonts w:asciiTheme="majorBidi" w:hAnsiTheme="majorBidi" w:cstheme="majorBidi"/>
          <w:sz w:val="28"/>
          <w:szCs w:val="28"/>
        </w:rPr>
      </w:pPr>
      <w:r w:rsidRPr="00CB4EE1">
        <w:rPr>
          <w:rFonts w:asciiTheme="majorBidi" w:hAnsiTheme="majorBidi" w:cstheme="majorBidi"/>
          <w:sz w:val="28"/>
          <w:szCs w:val="28"/>
        </w:rPr>
        <w:t xml:space="preserve">Les programmes budgétaires constituent le cadre de mise en œuvre des politiques publiques assignées au département ministériel ou l'institution. Ainsi, les départements ministériels et les institutions doivent, selon le cas,  réviser la structure de leurs budgets et s'assurer de leur conformité avec la politique publique portée par le département ministériel ou à l'institution, et de la déclinaison des programmes budgétaires de la stratégie sectorielle, notamment à la lumière de l'adoption </w:t>
      </w:r>
      <w:r w:rsidR="009205B1">
        <w:rPr>
          <w:rFonts w:asciiTheme="majorBidi" w:hAnsiTheme="majorBidi" w:cstheme="majorBidi"/>
          <w:sz w:val="28"/>
          <w:szCs w:val="28"/>
        </w:rPr>
        <w:t>par</w:t>
      </w:r>
      <w:r w:rsidRPr="00CB4EE1">
        <w:rPr>
          <w:rFonts w:asciiTheme="majorBidi" w:hAnsiTheme="majorBidi" w:cstheme="majorBidi"/>
          <w:sz w:val="28"/>
          <w:szCs w:val="28"/>
        </w:rPr>
        <w:t xml:space="preserve"> plusieurs département de nouvelles stratégies. Parallèlement, et dans le prolongement de la démarche adoptée dans la définition des programmes budgétaires, les départements ministériels et institutions doivent veiller sur la cohésion et l'équilibre budgétaire des projets ou actions qui composent chaque programme, ainsi qu'avec le périmètre fonctionnel du programme. </w:t>
      </w:r>
    </w:p>
    <w:p w:rsidR="0077716F" w:rsidRPr="00CB4EE1" w:rsidRDefault="002258AA" w:rsidP="00E24808">
      <w:pPr>
        <w:jc w:val="both"/>
        <w:rPr>
          <w:rFonts w:asciiTheme="majorBidi" w:hAnsiTheme="majorBidi" w:cstheme="majorBidi"/>
          <w:sz w:val="28"/>
          <w:szCs w:val="28"/>
        </w:rPr>
      </w:pPr>
      <w:r w:rsidRPr="00CB4EE1">
        <w:rPr>
          <w:rFonts w:asciiTheme="majorBidi" w:hAnsiTheme="majorBidi" w:cstheme="majorBidi"/>
          <w:sz w:val="28"/>
          <w:szCs w:val="28"/>
        </w:rPr>
        <w:t xml:space="preserve">Également, il faut </w:t>
      </w:r>
      <w:r w:rsidR="0077716F" w:rsidRPr="00CB4EE1">
        <w:rPr>
          <w:rFonts w:asciiTheme="majorBidi" w:hAnsiTheme="majorBidi" w:cstheme="majorBidi"/>
          <w:sz w:val="28"/>
          <w:szCs w:val="28"/>
        </w:rPr>
        <w:t xml:space="preserve">veiller </w:t>
      </w:r>
      <w:r w:rsidRPr="00CB4EE1">
        <w:rPr>
          <w:rFonts w:asciiTheme="majorBidi" w:hAnsiTheme="majorBidi" w:cstheme="majorBidi"/>
          <w:sz w:val="28"/>
          <w:szCs w:val="28"/>
        </w:rPr>
        <w:t>sur</w:t>
      </w:r>
      <w:r w:rsidR="0077716F" w:rsidRPr="00CB4EE1">
        <w:rPr>
          <w:rFonts w:asciiTheme="majorBidi" w:hAnsiTheme="majorBidi" w:cstheme="majorBidi"/>
          <w:sz w:val="28"/>
          <w:szCs w:val="28"/>
        </w:rPr>
        <w:t xml:space="preserve"> la cohérence et la complémentarité des programmes qui composent le budget sectoriel, y compris les programmes support, </w:t>
      </w:r>
      <w:r w:rsidR="00FB1E03" w:rsidRPr="00CB4EE1">
        <w:rPr>
          <w:rFonts w:asciiTheme="majorBidi" w:hAnsiTheme="majorBidi" w:cstheme="majorBidi"/>
          <w:sz w:val="28"/>
          <w:szCs w:val="28"/>
        </w:rPr>
        <w:t>et opter</w:t>
      </w:r>
      <w:r w:rsidRPr="00CB4EE1">
        <w:rPr>
          <w:rFonts w:asciiTheme="majorBidi" w:hAnsiTheme="majorBidi" w:cstheme="majorBidi"/>
          <w:sz w:val="28"/>
          <w:szCs w:val="28"/>
        </w:rPr>
        <w:t xml:space="preserve"> </w:t>
      </w:r>
      <w:r w:rsidR="00E24808">
        <w:rPr>
          <w:rFonts w:asciiTheme="majorBidi" w:hAnsiTheme="majorBidi" w:cstheme="majorBidi"/>
          <w:sz w:val="28"/>
          <w:szCs w:val="28"/>
        </w:rPr>
        <w:t xml:space="preserve">pour </w:t>
      </w:r>
      <w:r w:rsidRPr="00CB4EE1">
        <w:rPr>
          <w:rFonts w:asciiTheme="majorBidi" w:hAnsiTheme="majorBidi" w:cstheme="majorBidi"/>
          <w:sz w:val="28"/>
          <w:szCs w:val="28"/>
        </w:rPr>
        <w:t>un</w:t>
      </w:r>
      <w:r w:rsidR="0077716F" w:rsidRPr="00CB4EE1">
        <w:rPr>
          <w:rFonts w:asciiTheme="majorBidi" w:hAnsiTheme="majorBidi" w:cstheme="majorBidi"/>
          <w:sz w:val="28"/>
          <w:szCs w:val="28"/>
        </w:rPr>
        <w:t xml:space="preserve"> nombre </w:t>
      </w:r>
      <w:r w:rsidR="009205B1">
        <w:rPr>
          <w:rFonts w:asciiTheme="majorBidi" w:hAnsiTheme="majorBidi" w:cstheme="majorBidi"/>
          <w:sz w:val="28"/>
          <w:szCs w:val="28"/>
        </w:rPr>
        <w:t xml:space="preserve">de </w:t>
      </w:r>
      <w:r w:rsidR="009205B1" w:rsidRPr="009205B1">
        <w:rPr>
          <w:rFonts w:asciiTheme="majorBidi" w:hAnsiTheme="majorBidi" w:cstheme="majorBidi"/>
          <w:sz w:val="28"/>
          <w:szCs w:val="28"/>
        </w:rPr>
        <w:t xml:space="preserve">programmes </w:t>
      </w:r>
      <w:r w:rsidR="0077716F" w:rsidRPr="00CB4EE1">
        <w:rPr>
          <w:rFonts w:asciiTheme="majorBidi" w:hAnsiTheme="majorBidi" w:cstheme="majorBidi"/>
          <w:sz w:val="28"/>
          <w:szCs w:val="28"/>
        </w:rPr>
        <w:t xml:space="preserve">étudié et raisonnable, compris entre 1 et 6 programmes </w:t>
      </w:r>
      <w:r w:rsidR="009205B1">
        <w:rPr>
          <w:rFonts w:asciiTheme="majorBidi" w:hAnsiTheme="majorBidi" w:cstheme="majorBidi"/>
          <w:sz w:val="28"/>
          <w:szCs w:val="28"/>
        </w:rPr>
        <w:t xml:space="preserve">par </w:t>
      </w:r>
      <w:r w:rsidR="0077716F" w:rsidRPr="00CB4EE1">
        <w:rPr>
          <w:rFonts w:asciiTheme="majorBidi" w:hAnsiTheme="majorBidi" w:cstheme="majorBidi"/>
          <w:sz w:val="28"/>
          <w:szCs w:val="28"/>
        </w:rPr>
        <w:t xml:space="preserve"> département ministériel ou institution, </w:t>
      </w:r>
      <w:r w:rsidRPr="00CB4EE1">
        <w:rPr>
          <w:rFonts w:asciiTheme="majorBidi" w:hAnsiTheme="majorBidi" w:cstheme="majorBidi"/>
          <w:sz w:val="28"/>
          <w:szCs w:val="28"/>
        </w:rPr>
        <w:t xml:space="preserve">tout en se limitant à un </w:t>
      </w:r>
      <w:r w:rsidR="00FB1E03" w:rsidRPr="00CB4EE1">
        <w:rPr>
          <w:rFonts w:asciiTheme="majorBidi" w:hAnsiTheme="majorBidi" w:cstheme="majorBidi"/>
          <w:sz w:val="28"/>
          <w:szCs w:val="28"/>
        </w:rPr>
        <w:t xml:space="preserve">seul </w:t>
      </w:r>
      <w:r w:rsidR="0077716F" w:rsidRPr="00CB4EE1">
        <w:rPr>
          <w:rFonts w:asciiTheme="majorBidi" w:hAnsiTheme="majorBidi" w:cstheme="majorBidi"/>
          <w:sz w:val="28"/>
          <w:szCs w:val="28"/>
        </w:rPr>
        <w:t>programme de support.</w:t>
      </w:r>
    </w:p>
    <w:p w:rsidR="0077716F" w:rsidRPr="00CB4EE1" w:rsidRDefault="0077716F" w:rsidP="00CB4EE1">
      <w:pPr>
        <w:jc w:val="both"/>
        <w:rPr>
          <w:rFonts w:asciiTheme="majorBidi" w:hAnsiTheme="majorBidi" w:cstheme="majorBidi"/>
          <w:sz w:val="28"/>
          <w:szCs w:val="28"/>
        </w:rPr>
      </w:pPr>
      <w:r w:rsidRPr="00CB4EE1">
        <w:rPr>
          <w:rFonts w:asciiTheme="majorBidi" w:hAnsiTheme="majorBidi" w:cstheme="majorBidi"/>
          <w:sz w:val="28"/>
          <w:szCs w:val="28"/>
        </w:rPr>
        <w:t xml:space="preserve">Le programme </w:t>
      </w:r>
      <w:r w:rsidR="009205B1">
        <w:rPr>
          <w:rFonts w:asciiTheme="majorBidi" w:hAnsiTheme="majorBidi" w:cstheme="majorBidi"/>
          <w:sz w:val="28"/>
          <w:szCs w:val="28"/>
        </w:rPr>
        <w:t xml:space="preserve">budgétaire </w:t>
      </w:r>
      <w:r w:rsidRPr="00CB4EE1">
        <w:rPr>
          <w:rFonts w:asciiTheme="majorBidi" w:hAnsiTheme="majorBidi" w:cstheme="majorBidi"/>
          <w:sz w:val="28"/>
          <w:szCs w:val="28"/>
        </w:rPr>
        <w:t xml:space="preserve">comporte trois dimensions liées, en plus de la dimension liée à </w:t>
      </w:r>
      <w:r w:rsidR="00FB1E03" w:rsidRPr="00CB4EE1">
        <w:rPr>
          <w:rFonts w:asciiTheme="majorBidi" w:hAnsiTheme="majorBidi" w:cstheme="majorBidi"/>
          <w:sz w:val="28"/>
          <w:szCs w:val="28"/>
        </w:rPr>
        <w:t>la performance</w:t>
      </w:r>
      <w:r w:rsidRPr="00CB4EE1">
        <w:rPr>
          <w:rFonts w:asciiTheme="majorBidi" w:hAnsiTheme="majorBidi" w:cstheme="majorBidi"/>
          <w:sz w:val="28"/>
          <w:szCs w:val="28"/>
        </w:rPr>
        <w:t xml:space="preserve"> de l'action publique, à la dimension budgétaire et à la dimension managériale.</w:t>
      </w:r>
    </w:p>
    <w:p w:rsidR="00FB1E03" w:rsidRPr="00CB4EE1" w:rsidRDefault="00FB1E03" w:rsidP="00E368D7">
      <w:pPr>
        <w:jc w:val="both"/>
        <w:rPr>
          <w:rFonts w:asciiTheme="majorBidi" w:hAnsiTheme="majorBidi" w:cstheme="majorBidi"/>
          <w:sz w:val="28"/>
          <w:szCs w:val="28"/>
        </w:rPr>
      </w:pPr>
      <w:r w:rsidRPr="00CB4EE1">
        <w:rPr>
          <w:rFonts w:asciiTheme="majorBidi" w:hAnsiTheme="majorBidi" w:cstheme="majorBidi"/>
          <w:sz w:val="28"/>
          <w:szCs w:val="28"/>
        </w:rPr>
        <w:t xml:space="preserve">Au niveau de la </w:t>
      </w:r>
      <w:r w:rsidRPr="009205B1">
        <w:rPr>
          <w:rFonts w:asciiTheme="majorBidi" w:hAnsiTheme="majorBidi" w:cstheme="majorBidi"/>
          <w:b/>
          <w:bCs/>
          <w:sz w:val="28"/>
          <w:szCs w:val="28"/>
        </w:rPr>
        <w:t>dimension b</w:t>
      </w:r>
      <w:r w:rsidR="000C04CF" w:rsidRPr="009205B1">
        <w:rPr>
          <w:rFonts w:asciiTheme="majorBidi" w:hAnsiTheme="majorBidi" w:cstheme="majorBidi"/>
          <w:b/>
          <w:bCs/>
          <w:sz w:val="28"/>
          <w:szCs w:val="28"/>
        </w:rPr>
        <w:t>udgétaire</w:t>
      </w:r>
      <w:r w:rsidR="000C04CF" w:rsidRPr="00CB4EE1">
        <w:rPr>
          <w:rFonts w:asciiTheme="majorBidi" w:hAnsiTheme="majorBidi" w:cstheme="majorBidi"/>
          <w:sz w:val="28"/>
          <w:szCs w:val="28"/>
        </w:rPr>
        <w:t xml:space="preserve">, et </w:t>
      </w:r>
      <w:r w:rsidR="009205B1">
        <w:rPr>
          <w:rFonts w:asciiTheme="majorBidi" w:hAnsiTheme="majorBidi" w:cstheme="majorBidi"/>
          <w:sz w:val="28"/>
          <w:szCs w:val="28"/>
        </w:rPr>
        <w:t>conformément à</w:t>
      </w:r>
      <w:r w:rsidR="000C04CF" w:rsidRPr="00CB4EE1">
        <w:rPr>
          <w:rFonts w:asciiTheme="majorBidi" w:hAnsiTheme="majorBidi" w:cstheme="majorBidi"/>
          <w:sz w:val="28"/>
          <w:szCs w:val="28"/>
        </w:rPr>
        <w:t xml:space="preserve"> </w:t>
      </w:r>
      <w:r w:rsidR="005D663E" w:rsidRPr="00CB4EE1">
        <w:rPr>
          <w:rFonts w:asciiTheme="majorBidi" w:hAnsiTheme="majorBidi" w:cstheme="majorBidi"/>
          <w:sz w:val="28"/>
          <w:szCs w:val="28"/>
        </w:rPr>
        <w:t>la globalité</w:t>
      </w:r>
      <w:r w:rsidR="000C04CF" w:rsidRPr="00CB4EE1">
        <w:rPr>
          <w:rFonts w:asciiTheme="majorBidi" w:hAnsiTheme="majorBidi" w:cstheme="majorBidi"/>
          <w:sz w:val="28"/>
          <w:szCs w:val="28"/>
        </w:rPr>
        <w:t xml:space="preserve"> </w:t>
      </w:r>
      <w:r w:rsidRPr="00CB4EE1">
        <w:rPr>
          <w:rFonts w:asciiTheme="majorBidi" w:hAnsiTheme="majorBidi" w:cstheme="majorBidi"/>
          <w:sz w:val="28"/>
          <w:szCs w:val="28"/>
        </w:rPr>
        <w:t xml:space="preserve">budgétaire des programmes, chaque programme </w:t>
      </w:r>
      <w:r w:rsidR="000C04CF" w:rsidRPr="00CB4EE1">
        <w:rPr>
          <w:rFonts w:asciiTheme="majorBidi" w:hAnsiTheme="majorBidi" w:cstheme="majorBidi"/>
          <w:sz w:val="28"/>
          <w:szCs w:val="28"/>
        </w:rPr>
        <w:t xml:space="preserve">budgétaire </w:t>
      </w:r>
      <w:r w:rsidRPr="00CB4EE1">
        <w:rPr>
          <w:rFonts w:asciiTheme="majorBidi" w:hAnsiTheme="majorBidi" w:cstheme="majorBidi"/>
          <w:sz w:val="28"/>
          <w:szCs w:val="28"/>
        </w:rPr>
        <w:t xml:space="preserve">doit comporter les moyens nécessaires à sa mise en œuvre, </w:t>
      </w:r>
      <w:r w:rsidR="00E368D7">
        <w:rPr>
          <w:rFonts w:asciiTheme="majorBidi" w:hAnsiTheme="majorBidi" w:cstheme="majorBidi"/>
          <w:sz w:val="28"/>
          <w:szCs w:val="28"/>
        </w:rPr>
        <w:t xml:space="preserve">et </w:t>
      </w:r>
      <w:r w:rsidRPr="00CB4EE1">
        <w:rPr>
          <w:rFonts w:asciiTheme="majorBidi" w:hAnsiTheme="majorBidi" w:cstheme="majorBidi"/>
          <w:sz w:val="28"/>
          <w:szCs w:val="28"/>
        </w:rPr>
        <w:t xml:space="preserve">qui </w:t>
      </w:r>
      <w:r w:rsidR="000C04CF" w:rsidRPr="00CB4EE1">
        <w:rPr>
          <w:rFonts w:asciiTheme="majorBidi" w:hAnsiTheme="majorBidi" w:cstheme="majorBidi"/>
          <w:sz w:val="28"/>
          <w:szCs w:val="28"/>
        </w:rPr>
        <w:t>couvrent</w:t>
      </w:r>
      <w:r w:rsidRPr="00CB4EE1">
        <w:rPr>
          <w:rFonts w:asciiTheme="majorBidi" w:hAnsiTheme="majorBidi" w:cstheme="majorBidi"/>
          <w:sz w:val="28"/>
          <w:szCs w:val="28"/>
        </w:rPr>
        <w:t xml:space="preserve"> les différentes dépenses de fonctionnement et </w:t>
      </w:r>
      <w:r w:rsidR="00572CBF" w:rsidRPr="00CB4EE1">
        <w:rPr>
          <w:rFonts w:asciiTheme="majorBidi" w:hAnsiTheme="majorBidi" w:cstheme="majorBidi"/>
          <w:sz w:val="28"/>
          <w:szCs w:val="28"/>
        </w:rPr>
        <w:t xml:space="preserve">les </w:t>
      </w:r>
      <w:r w:rsidRPr="00CB4EE1">
        <w:rPr>
          <w:rFonts w:asciiTheme="majorBidi" w:hAnsiTheme="majorBidi" w:cstheme="majorBidi"/>
          <w:sz w:val="28"/>
          <w:szCs w:val="28"/>
        </w:rPr>
        <w:t xml:space="preserve">dépenses d'investissement affectées à la politique ou aux politiques publiques </w:t>
      </w:r>
      <w:r w:rsidR="00E368D7">
        <w:rPr>
          <w:rFonts w:asciiTheme="majorBidi" w:hAnsiTheme="majorBidi" w:cstheme="majorBidi"/>
          <w:sz w:val="28"/>
          <w:szCs w:val="28"/>
        </w:rPr>
        <w:t>traduite</w:t>
      </w:r>
      <w:r w:rsidR="00E24808">
        <w:rPr>
          <w:rFonts w:asciiTheme="majorBidi" w:hAnsiTheme="majorBidi" w:cstheme="majorBidi"/>
          <w:sz w:val="28"/>
          <w:szCs w:val="28"/>
        </w:rPr>
        <w:t>s</w:t>
      </w:r>
      <w:r w:rsidR="00E368D7">
        <w:rPr>
          <w:rFonts w:asciiTheme="majorBidi" w:hAnsiTheme="majorBidi" w:cstheme="majorBidi"/>
          <w:sz w:val="28"/>
          <w:szCs w:val="28"/>
        </w:rPr>
        <w:t xml:space="preserve"> </w:t>
      </w:r>
      <w:r w:rsidR="00572CBF" w:rsidRPr="00CB4EE1">
        <w:rPr>
          <w:rFonts w:asciiTheme="majorBidi" w:hAnsiTheme="majorBidi" w:cstheme="majorBidi"/>
          <w:sz w:val="28"/>
          <w:szCs w:val="28"/>
        </w:rPr>
        <w:t xml:space="preserve">par le </w:t>
      </w:r>
      <w:r w:rsidRPr="00CB4EE1">
        <w:rPr>
          <w:rFonts w:asciiTheme="majorBidi" w:hAnsiTheme="majorBidi" w:cstheme="majorBidi"/>
          <w:sz w:val="28"/>
          <w:szCs w:val="28"/>
        </w:rPr>
        <w:t xml:space="preserve">programme. </w:t>
      </w:r>
      <w:r w:rsidR="00E368D7">
        <w:rPr>
          <w:rFonts w:asciiTheme="majorBidi" w:hAnsiTheme="majorBidi" w:cstheme="majorBidi"/>
          <w:sz w:val="28"/>
          <w:szCs w:val="28"/>
        </w:rPr>
        <w:t>Cependant, e</w:t>
      </w:r>
      <w:r w:rsidRPr="00CB4EE1">
        <w:rPr>
          <w:rFonts w:asciiTheme="majorBidi" w:hAnsiTheme="majorBidi" w:cstheme="majorBidi"/>
          <w:sz w:val="28"/>
          <w:szCs w:val="28"/>
        </w:rPr>
        <w:t xml:space="preserve">n cas </w:t>
      </w:r>
      <w:r w:rsidR="00572CBF" w:rsidRPr="00CB4EE1">
        <w:rPr>
          <w:rFonts w:asciiTheme="majorBidi" w:hAnsiTheme="majorBidi" w:cstheme="majorBidi"/>
          <w:sz w:val="28"/>
          <w:szCs w:val="28"/>
        </w:rPr>
        <w:t>d’impossibilité</w:t>
      </w:r>
      <w:r w:rsidRPr="00CB4EE1">
        <w:rPr>
          <w:rFonts w:asciiTheme="majorBidi" w:hAnsiTheme="majorBidi" w:cstheme="majorBidi"/>
          <w:sz w:val="28"/>
          <w:szCs w:val="28"/>
        </w:rPr>
        <w:t xml:space="preserve"> </w:t>
      </w:r>
      <w:r w:rsidR="00572CBF" w:rsidRPr="00CB4EE1">
        <w:rPr>
          <w:rFonts w:asciiTheme="majorBidi" w:hAnsiTheme="majorBidi" w:cstheme="majorBidi"/>
          <w:sz w:val="28"/>
          <w:szCs w:val="28"/>
        </w:rPr>
        <w:t>de</w:t>
      </w:r>
      <w:r w:rsidRPr="00CB4EE1">
        <w:rPr>
          <w:rFonts w:asciiTheme="majorBidi" w:hAnsiTheme="majorBidi" w:cstheme="majorBidi"/>
          <w:sz w:val="28"/>
          <w:szCs w:val="28"/>
        </w:rPr>
        <w:t xml:space="preserve"> la répartition effective des dépenses de personnel </w:t>
      </w:r>
      <w:r w:rsidR="00572CBF" w:rsidRPr="00CB4EE1">
        <w:rPr>
          <w:rFonts w:asciiTheme="majorBidi" w:hAnsiTheme="majorBidi" w:cstheme="majorBidi"/>
          <w:sz w:val="28"/>
          <w:szCs w:val="28"/>
        </w:rPr>
        <w:t>par</w:t>
      </w:r>
      <w:r w:rsidRPr="00CB4EE1">
        <w:rPr>
          <w:rFonts w:asciiTheme="majorBidi" w:hAnsiTheme="majorBidi" w:cstheme="majorBidi"/>
          <w:sz w:val="28"/>
          <w:szCs w:val="28"/>
        </w:rPr>
        <w:t xml:space="preserve"> programmes, cette répartition doit être présentée à titre </w:t>
      </w:r>
      <w:r w:rsidR="00572CBF" w:rsidRPr="00CB4EE1">
        <w:rPr>
          <w:rFonts w:asciiTheme="majorBidi" w:hAnsiTheme="majorBidi" w:cstheme="majorBidi"/>
          <w:sz w:val="28"/>
          <w:szCs w:val="28"/>
        </w:rPr>
        <w:t>indicatif</w:t>
      </w:r>
      <w:r w:rsidRPr="00CB4EE1">
        <w:rPr>
          <w:rFonts w:asciiTheme="majorBidi" w:hAnsiTheme="majorBidi" w:cstheme="majorBidi"/>
          <w:sz w:val="28"/>
          <w:szCs w:val="28"/>
        </w:rPr>
        <w:t xml:space="preserve">, au niveau du </w:t>
      </w:r>
      <w:r w:rsidR="00572CBF" w:rsidRPr="00CB4EE1">
        <w:rPr>
          <w:rFonts w:asciiTheme="majorBidi" w:hAnsiTheme="majorBidi" w:cstheme="majorBidi"/>
          <w:sz w:val="28"/>
          <w:szCs w:val="28"/>
        </w:rPr>
        <w:t>P</w:t>
      </w:r>
      <w:r w:rsidRPr="00CB4EE1">
        <w:rPr>
          <w:rFonts w:asciiTheme="majorBidi" w:hAnsiTheme="majorBidi" w:cstheme="majorBidi"/>
          <w:sz w:val="28"/>
          <w:szCs w:val="28"/>
        </w:rPr>
        <w:t xml:space="preserve">rojet de </w:t>
      </w:r>
      <w:r w:rsidR="00572CBF" w:rsidRPr="00CB4EE1">
        <w:rPr>
          <w:rFonts w:asciiTheme="majorBidi" w:hAnsiTheme="majorBidi" w:cstheme="majorBidi"/>
          <w:sz w:val="28"/>
          <w:szCs w:val="28"/>
        </w:rPr>
        <w:t>P</w:t>
      </w:r>
      <w:r w:rsidRPr="00CB4EE1">
        <w:rPr>
          <w:rFonts w:asciiTheme="majorBidi" w:hAnsiTheme="majorBidi" w:cstheme="majorBidi"/>
          <w:sz w:val="28"/>
          <w:szCs w:val="28"/>
        </w:rPr>
        <w:t xml:space="preserve">erformance. </w:t>
      </w:r>
      <w:r w:rsidR="00572CBF" w:rsidRPr="00CB4EE1">
        <w:rPr>
          <w:rFonts w:asciiTheme="majorBidi" w:hAnsiTheme="majorBidi" w:cstheme="majorBidi"/>
          <w:sz w:val="28"/>
          <w:szCs w:val="28"/>
        </w:rPr>
        <w:t>En outre, l</w:t>
      </w:r>
      <w:r w:rsidRPr="00CB4EE1">
        <w:rPr>
          <w:rFonts w:asciiTheme="majorBidi" w:hAnsiTheme="majorBidi" w:cstheme="majorBidi"/>
          <w:sz w:val="28"/>
          <w:szCs w:val="28"/>
        </w:rPr>
        <w:t xml:space="preserve">es crédits du programme peuvent provenir d'un seul, </w:t>
      </w:r>
      <w:r w:rsidR="00572CBF" w:rsidRPr="00CB4EE1">
        <w:rPr>
          <w:rFonts w:asciiTheme="majorBidi" w:hAnsiTheme="majorBidi" w:cstheme="majorBidi"/>
          <w:sz w:val="28"/>
          <w:szCs w:val="28"/>
        </w:rPr>
        <w:t xml:space="preserve">ou </w:t>
      </w:r>
      <w:r w:rsidRPr="00CB4EE1">
        <w:rPr>
          <w:rFonts w:asciiTheme="majorBidi" w:hAnsiTheme="majorBidi" w:cstheme="majorBidi"/>
          <w:sz w:val="28"/>
          <w:szCs w:val="28"/>
        </w:rPr>
        <w:t xml:space="preserve">de deux ou </w:t>
      </w:r>
      <w:r w:rsidR="00572CBF" w:rsidRPr="00CB4EE1">
        <w:rPr>
          <w:rFonts w:asciiTheme="majorBidi" w:hAnsiTheme="majorBidi" w:cstheme="majorBidi"/>
          <w:sz w:val="28"/>
          <w:szCs w:val="28"/>
        </w:rPr>
        <w:t xml:space="preserve">de </w:t>
      </w:r>
      <w:r w:rsidRPr="00CB4EE1">
        <w:rPr>
          <w:rFonts w:asciiTheme="majorBidi" w:hAnsiTheme="majorBidi" w:cstheme="majorBidi"/>
          <w:sz w:val="28"/>
          <w:szCs w:val="28"/>
        </w:rPr>
        <w:t xml:space="preserve">trois </w:t>
      </w:r>
      <w:r w:rsidR="00572CBF" w:rsidRPr="00CB4EE1">
        <w:rPr>
          <w:rFonts w:asciiTheme="majorBidi" w:hAnsiTheme="majorBidi" w:cstheme="majorBidi"/>
          <w:sz w:val="28"/>
          <w:szCs w:val="28"/>
        </w:rPr>
        <w:t xml:space="preserve">supports budgétaires </w:t>
      </w:r>
      <w:r w:rsidRPr="00CB4EE1">
        <w:rPr>
          <w:rFonts w:asciiTheme="majorBidi" w:hAnsiTheme="majorBidi" w:cstheme="majorBidi"/>
          <w:sz w:val="28"/>
          <w:szCs w:val="28"/>
        </w:rPr>
        <w:t xml:space="preserve">(le </w:t>
      </w:r>
      <w:r w:rsidR="005D663E" w:rsidRPr="00CB4EE1">
        <w:rPr>
          <w:rFonts w:asciiTheme="majorBidi" w:hAnsiTheme="majorBidi" w:cstheme="majorBidi"/>
          <w:sz w:val="28"/>
          <w:szCs w:val="28"/>
        </w:rPr>
        <w:t>B</w:t>
      </w:r>
      <w:r w:rsidRPr="00CB4EE1">
        <w:rPr>
          <w:rFonts w:asciiTheme="majorBidi" w:hAnsiTheme="majorBidi" w:cstheme="majorBidi"/>
          <w:sz w:val="28"/>
          <w:szCs w:val="28"/>
        </w:rPr>
        <w:t xml:space="preserve">udget </w:t>
      </w:r>
      <w:r w:rsidR="005D663E" w:rsidRPr="00CB4EE1">
        <w:rPr>
          <w:rFonts w:asciiTheme="majorBidi" w:hAnsiTheme="majorBidi" w:cstheme="majorBidi"/>
          <w:sz w:val="28"/>
          <w:szCs w:val="28"/>
        </w:rPr>
        <w:t>G</w:t>
      </w:r>
      <w:r w:rsidRPr="00CB4EE1">
        <w:rPr>
          <w:rFonts w:asciiTheme="majorBidi" w:hAnsiTheme="majorBidi" w:cstheme="majorBidi"/>
          <w:sz w:val="28"/>
          <w:szCs w:val="28"/>
        </w:rPr>
        <w:t xml:space="preserve">énéral, les </w:t>
      </w:r>
      <w:r w:rsidR="005D663E" w:rsidRPr="00CB4EE1">
        <w:rPr>
          <w:rFonts w:asciiTheme="majorBidi" w:hAnsiTheme="majorBidi" w:cstheme="majorBidi"/>
          <w:sz w:val="28"/>
          <w:szCs w:val="28"/>
        </w:rPr>
        <w:t>S</w:t>
      </w:r>
      <w:r w:rsidRPr="00CB4EE1">
        <w:rPr>
          <w:rFonts w:asciiTheme="majorBidi" w:hAnsiTheme="majorBidi" w:cstheme="majorBidi"/>
          <w:sz w:val="28"/>
          <w:szCs w:val="28"/>
        </w:rPr>
        <w:t xml:space="preserve">ervices de l'État </w:t>
      </w:r>
      <w:r w:rsidR="005D663E" w:rsidRPr="00CB4EE1">
        <w:rPr>
          <w:rFonts w:asciiTheme="majorBidi" w:hAnsiTheme="majorBidi" w:cstheme="majorBidi"/>
          <w:sz w:val="28"/>
          <w:szCs w:val="28"/>
        </w:rPr>
        <w:t>G</w:t>
      </w:r>
      <w:r w:rsidRPr="00CB4EE1">
        <w:rPr>
          <w:rFonts w:asciiTheme="majorBidi" w:hAnsiTheme="majorBidi" w:cstheme="majorBidi"/>
          <w:sz w:val="28"/>
          <w:szCs w:val="28"/>
        </w:rPr>
        <w:t xml:space="preserve">érés de </w:t>
      </w:r>
      <w:r w:rsidR="005D663E" w:rsidRPr="00CB4EE1">
        <w:rPr>
          <w:rFonts w:asciiTheme="majorBidi" w:hAnsiTheme="majorBidi" w:cstheme="majorBidi"/>
          <w:sz w:val="28"/>
          <w:szCs w:val="28"/>
        </w:rPr>
        <w:t>M</w:t>
      </w:r>
      <w:r w:rsidRPr="00CB4EE1">
        <w:rPr>
          <w:rFonts w:asciiTheme="majorBidi" w:hAnsiTheme="majorBidi" w:cstheme="majorBidi"/>
          <w:sz w:val="28"/>
          <w:szCs w:val="28"/>
        </w:rPr>
        <w:t xml:space="preserve">anière </w:t>
      </w:r>
      <w:r w:rsidR="005D663E" w:rsidRPr="00CB4EE1">
        <w:rPr>
          <w:rFonts w:asciiTheme="majorBidi" w:hAnsiTheme="majorBidi" w:cstheme="majorBidi"/>
          <w:sz w:val="28"/>
          <w:szCs w:val="28"/>
        </w:rPr>
        <w:t>A</w:t>
      </w:r>
      <w:r w:rsidRPr="00CB4EE1">
        <w:rPr>
          <w:rFonts w:asciiTheme="majorBidi" w:hAnsiTheme="majorBidi" w:cstheme="majorBidi"/>
          <w:sz w:val="28"/>
          <w:szCs w:val="28"/>
        </w:rPr>
        <w:t xml:space="preserve">utonome et les </w:t>
      </w:r>
      <w:r w:rsidR="005D663E" w:rsidRPr="00CB4EE1">
        <w:rPr>
          <w:rFonts w:asciiTheme="majorBidi" w:hAnsiTheme="majorBidi" w:cstheme="majorBidi"/>
          <w:sz w:val="28"/>
          <w:szCs w:val="28"/>
        </w:rPr>
        <w:t>C</w:t>
      </w:r>
      <w:r w:rsidRPr="00CB4EE1">
        <w:rPr>
          <w:rFonts w:asciiTheme="majorBidi" w:hAnsiTheme="majorBidi" w:cstheme="majorBidi"/>
          <w:sz w:val="28"/>
          <w:szCs w:val="28"/>
        </w:rPr>
        <w:t xml:space="preserve">omptes </w:t>
      </w:r>
      <w:r w:rsidR="005D663E" w:rsidRPr="00CB4EE1">
        <w:rPr>
          <w:rFonts w:asciiTheme="majorBidi" w:hAnsiTheme="majorBidi" w:cstheme="majorBidi"/>
          <w:sz w:val="28"/>
          <w:szCs w:val="28"/>
        </w:rPr>
        <w:t>S</w:t>
      </w:r>
      <w:r w:rsidRPr="00CB4EE1">
        <w:rPr>
          <w:rFonts w:asciiTheme="majorBidi" w:hAnsiTheme="majorBidi" w:cstheme="majorBidi"/>
          <w:sz w:val="28"/>
          <w:szCs w:val="28"/>
        </w:rPr>
        <w:t xml:space="preserve">péciaux du </w:t>
      </w:r>
      <w:r w:rsidR="005D663E" w:rsidRPr="00CB4EE1">
        <w:rPr>
          <w:rFonts w:asciiTheme="majorBidi" w:hAnsiTheme="majorBidi" w:cstheme="majorBidi"/>
          <w:sz w:val="28"/>
          <w:szCs w:val="28"/>
        </w:rPr>
        <w:t>T</w:t>
      </w:r>
      <w:r w:rsidRPr="00CB4EE1">
        <w:rPr>
          <w:rFonts w:asciiTheme="majorBidi" w:hAnsiTheme="majorBidi" w:cstheme="majorBidi"/>
          <w:sz w:val="28"/>
          <w:szCs w:val="28"/>
        </w:rPr>
        <w:t>résor).</w:t>
      </w:r>
    </w:p>
    <w:p w:rsidR="00572CBF" w:rsidRPr="00CB4EE1" w:rsidRDefault="00572CBF" w:rsidP="005D663E">
      <w:pPr>
        <w:jc w:val="both"/>
        <w:rPr>
          <w:rFonts w:asciiTheme="majorBidi" w:hAnsiTheme="majorBidi" w:cstheme="majorBidi"/>
          <w:sz w:val="28"/>
          <w:szCs w:val="28"/>
        </w:rPr>
      </w:pPr>
      <w:r w:rsidRPr="00CB4EE1">
        <w:rPr>
          <w:rFonts w:asciiTheme="majorBidi" w:hAnsiTheme="majorBidi" w:cstheme="majorBidi"/>
          <w:sz w:val="28"/>
          <w:szCs w:val="28"/>
        </w:rPr>
        <w:t xml:space="preserve">Aussi, lors de la </w:t>
      </w:r>
      <w:r w:rsidR="005D663E">
        <w:rPr>
          <w:rFonts w:asciiTheme="majorBidi" w:hAnsiTheme="majorBidi" w:cstheme="majorBidi"/>
          <w:sz w:val="28"/>
          <w:szCs w:val="28"/>
        </w:rPr>
        <w:t>construction</w:t>
      </w:r>
      <w:r w:rsidRPr="00CB4EE1">
        <w:rPr>
          <w:rFonts w:asciiTheme="majorBidi" w:hAnsiTheme="majorBidi" w:cstheme="majorBidi"/>
          <w:sz w:val="28"/>
          <w:szCs w:val="28"/>
        </w:rPr>
        <w:t xml:space="preserve"> des programmes budgétaires, il est nécessaire d’observer l'équilibre de leur volume budgétaire, afin d'éviter les disparités dans l'allocation des crédits entre les programmes et de parer à la fragmentation de la gestion budgétaire.</w:t>
      </w:r>
    </w:p>
    <w:p w:rsidR="00572CBF" w:rsidRPr="00CB4EE1" w:rsidRDefault="00397BF7" w:rsidP="00CB4EE1">
      <w:pPr>
        <w:jc w:val="both"/>
        <w:rPr>
          <w:rFonts w:asciiTheme="majorBidi" w:hAnsiTheme="majorBidi" w:cstheme="majorBidi"/>
          <w:sz w:val="28"/>
          <w:szCs w:val="28"/>
        </w:rPr>
      </w:pPr>
      <w:r w:rsidRPr="00CB4EE1">
        <w:rPr>
          <w:rFonts w:asciiTheme="majorBidi" w:hAnsiTheme="majorBidi" w:cstheme="majorBidi"/>
          <w:sz w:val="28"/>
          <w:szCs w:val="28"/>
        </w:rPr>
        <w:t>Et vu le</w:t>
      </w:r>
      <w:r w:rsidR="00572CBF" w:rsidRPr="00CB4EE1">
        <w:rPr>
          <w:rFonts w:asciiTheme="majorBidi" w:hAnsiTheme="majorBidi" w:cstheme="majorBidi"/>
          <w:sz w:val="28"/>
          <w:szCs w:val="28"/>
        </w:rPr>
        <w:t xml:space="preserve"> caractère structurel de la réforme budgétaire, qui </w:t>
      </w:r>
      <w:r w:rsidRPr="00CB4EE1">
        <w:rPr>
          <w:rFonts w:asciiTheme="majorBidi" w:hAnsiTheme="majorBidi" w:cstheme="majorBidi"/>
          <w:sz w:val="28"/>
          <w:szCs w:val="28"/>
        </w:rPr>
        <w:t>couvre</w:t>
      </w:r>
      <w:r w:rsidR="00572CBF" w:rsidRPr="00CB4EE1">
        <w:rPr>
          <w:rFonts w:asciiTheme="majorBidi" w:hAnsiTheme="majorBidi" w:cstheme="majorBidi"/>
          <w:sz w:val="28"/>
          <w:szCs w:val="28"/>
        </w:rPr>
        <w:t xml:space="preserve"> aussi le chantier de la déconcentration administrative, notamment </w:t>
      </w:r>
      <w:r w:rsidRPr="00CB4EE1">
        <w:rPr>
          <w:rFonts w:asciiTheme="majorBidi" w:hAnsiTheme="majorBidi" w:cstheme="majorBidi"/>
          <w:sz w:val="28"/>
          <w:szCs w:val="28"/>
        </w:rPr>
        <w:t>dans sa dimension</w:t>
      </w:r>
      <w:r w:rsidR="00572CBF" w:rsidRPr="00CB4EE1">
        <w:rPr>
          <w:rFonts w:asciiTheme="majorBidi" w:hAnsiTheme="majorBidi" w:cstheme="majorBidi"/>
          <w:sz w:val="28"/>
          <w:szCs w:val="28"/>
        </w:rPr>
        <w:t xml:space="preserve"> budgétaire, il faut </w:t>
      </w:r>
      <w:r w:rsidR="00572CBF" w:rsidRPr="00CB4EE1">
        <w:rPr>
          <w:rFonts w:asciiTheme="majorBidi" w:hAnsiTheme="majorBidi" w:cstheme="majorBidi"/>
          <w:sz w:val="28"/>
          <w:szCs w:val="28"/>
        </w:rPr>
        <w:lastRenderedPageBreak/>
        <w:t>veiller</w:t>
      </w:r>
      <w:r w:rsidRPr="00CB4EE1">
        <w:rPr>
          <w:rFonts w:asciiTheme="majorBidi" w:hAnsiTheme="majorBidi" w:cstheme="majorBidi"/>
          <w:sz w:val="28"/>
          <w:szCs w:val="28"/>
        </w:rPr>
        <w:t>,</w:t>
      </w:r>
      <w:r w:rsidR="00572CBF" w:rsidRPr="00CB4EE1">
        <w:rPr>
          <w:rFonts w:asciiTheme="majorBidi" w:hAnsiTheme="majorBidi" w:cstheme="majorBidi"/>
          <w:sz w:val="28"/>
          <w:szCs w:val="28"/>
        </w:rPr>
        <w:t xml:space="preserve"> </w:t>
      </w:r>
      <w:r w:rsidRPr="00CB4EE1">
        <w:rPr>
          <w:rFonts w:asciiTheme="majorBidi" w:hAnsiTheme="majorBidi" w:cstheme="majorBidi"/>
          <w:sz w:val="28"/>
          <w:szCs w:val="28"/>
        </w:rPr>
        <w:t xml:space="preserve">lors de la programmation et de l'allocation des crédits, sur </w:t>
      </w:r>
      <w:r w:rsidR="00572CBF" w:rsidRPr="00CB4EE1">
        <w:rPr>
          <w:rFonts w:asciiTheme="majorBidi" w:hAnsiTheme="majorBidi" w:cstheme="majorBidi"/>
          <w:sz w:val="28"/>
          <w:szCs w:val="28"/>
        </w:rPr>
        <w:t xml:space="preserve"> </w:t>
      </w:r>
      <w:r w:rsidRPr="00CB4EE1">
        <w:rPr>
          <w:rFonts w:asciiTheme="majorBidi" w:hAnsiTheme="majorBidi" w:cstheme="majorBidi"/>
          <w:sz w:val="28"/>
          <w:szCs w:val="28"/>
        </w:rPr>
        <w:t xml:space="preserve">le renforcement de </w:t>
      </w:r>
      <w:r w:rsidR="00572CBF" w:rsidRPr="00CB4EE1">
        <w:rPr>
          <w:rFonts w:asciiTheme="majorBidi" w:hAnsiTheme="majorBidi" w:cstheme="majorBidi"/>
          <w:sz w:val="28"/>
          <w:szCs w:val="28"/>
        </w:rPr>
        <w:t>la dimension régionale dans la répartition des dépenses</w:t>
      </w:r>
      <w:r w:rsidRPr="00CB4EE1">
        <w:rPr>
          <w:rFonts w:asciiTheme="majorBidi" w:hAnsiTheme="majorBidi" w:cstheme="majorBidi"/>
          <w:sz w:val="28"/>
          <w:szCs w:val="28"/>
        </w:rPr>
        <w:t>.</w:t>
      </w:r>
      <w:r w:rsidR="00572CBF" w:rsidRPr="00CB4EE1">
        <w:rPr>
          <w:rFonts w:asciiTheme="majorBidi" w:hAnsiTheme="majorBidi" w:cstheme="majorBidi"/>
          <w:sz w:val="28"/>
          <w:szCs w:val="28"/>
        </w:rPr>
        <w:t xml:space="preserve"> </w:t>
      </w:r>
    </w:p>
    <w:p w:rsidR="00397BF7" w:rsidRPr="00CB4EE1" w:rsidRDefault="00397BF7" w:rsidP="00CB4EE1">
      <w:pPr>
        <w:jc w:val="both"/>
        <w:rPr>
          <w:rFonts w:asciiTheme="majorBidi" w:hAnsiTheme="majorBidi" w:cstheme="majorBidi"/>
          <w:sz w:val="28"/>
          <w:szCs w:val="28"/>
        </w:rPr>
      </w:pPr>
      <w:r w:rsidRPr="00CB4EE1">
        <w:rPr>
          <w:rFonts w:asciiTheme="majorBidi" w:hAnsiTheme="majorBidi" w:cstheme="majorBidi"/>
          <w:sz w:val="28"/>
          <w:szCs w:val="28"/>
        </w:rPr>
        <w:t>Par ailleurs, et afin d’ancrer la budgétisation sensible au genre, les départements ministériels et institutions doivent, lors de la définition des projets et actions qui composent les programmes budgétaires, veiller à leur sensibilité à la dimension genre.</w:t>
      </w:r>
    </w:p>
    <w:p w:rsidR="00397BF7" w:rsidRPr="00CB4EE1" w:rsidRDefault="0085587F" w:rsidP="00E24808">
      <w:pPr>
        <w:jc w:val="both"/>
        <w:rPr>
          <w:rFonts w:asciiTheme="majorBidi" w:hAnsiTheme="majorBidi" w:cstheme="majorBidi"/>
          <w:sz w:val="28"/>
          <w:szCs w:val="28"/>
        </w:rPr>
      </w:pPr>
      <w:r>
        <w:rPr>
          <w:rFonts w:asciiTheme="majorBidi" w:hAnsiTheme="majorBidi" w:cstheme="majorBidi"/>
          <w:sz w:val="28"/>
          <w:szCs w:val="28"/>
        </w:rPr>
        <w:t>Également, i</w:t>
      </w:r>
      <w:r w:rsidR="00397BF7" w:rsidRPr="00CB4EE1">
        <w:rPr>
          <w:rFonts w:asciiTheme="majorBidi" w:hAnsiTheme="majorBidi" w:cstheme="majorBidi"/>
          <w:sz w:val="28"/>
          <w:szCs w:val="28"/>
        </w:rPr>
        <w:t>ls doivent éviter les programmes budgétaires « mono-nature » et les programmes composés exclusivement des dépenses liées aux subventions.</w:t>
      </w:r>
    </w:p>
    <w:p w:rsidR="00397BF7" w:rsidRPr="00CB4EE1" w:rsidRDefault="00397BF7" w:rsidP="00CB4EE1">
      <w:pPr>
        <w:jc w:val="both"/>
        <w:rPr>
          <w:rFonts w:asciiTheme="majorBidi" w:hAnsiTheme="majorBidi" w:cstheme="majorBidi"/>
          <w:sz w:val="28"/>
          <w:szCs w:val="28"/>
        </w:rPr>
      </w:pPr>
      <w:r w:rsidRPr="00CB4EE1">
        <w:rPr>
          <w:rFonts w:asciiTheme="majorBidi" w:hAnsiTheme="majorBidi" w:cstheme="majorBidi"/>
          <w:sz w:val="28"/>
          <w:szCs w:val="28"/>
        </w:rPr>
        <w:t xml:space="preserve">Quant à </w:t>
      </w:r>
      <w:r w:rsidRPr="0085587F">
        <w:rPr>
          <w:rFonts w:asciiTheme="majorBidi" w:hAnsiTheme="majorBidi" w:cstheme="majorBidi"/>
          <w:b/>
          <w:bCs/>
          <w:sz w:val="28"/>
          <w:szCs w:val="28"/>
        </w:rPr>
        <w:t>la dimension managériale</w:t>
      </w:r>
      <w:r w:rsidRPr="00CB4EE1">
        <w:rPr>
          <w:rFonts w:asciiTheme="majorBidi" w:hAnsiTheme="majorBidi" w:cstheme="majorBidi"/>
          <w:sz w:val="28"/>
          <w:szCs w:val="28"/>
        </w:rPr>
        <w:t xml:space="preserve">, chaque département ministériel et institution est appelé à désigner un responsable pour chaque programme. A ce titre, la circulaire n° </w:t>
      </w:r>
      <w:r w:rsidR="003A7913" w:rsidRPr="00CB4EE1">
        <w:rPr>
          <w:rFonts w:asciiTheme="majorBidi" w:hAnsiTheme="majorBidi" w:cstheme="majorBidi"/>
          <w:sz w:val="28"/>
          <w:szCs w:val="28"/>
        </w:rPr>
        <w:t>09/2021</w:t>
      </w:r>
      <w:r w:rsidRPr="00CB4EE1">
        <w:rPr>
          <w:rFonts w:asciiTheme="majorBidi" w:hAnsiTheme="majorBidi" w:cstheme="majorBidi"/>
          <w:sz w:val="28"/>
          <w:szCs w:val="28"/>
        </w:rPr>
        <w:t xml:space="preserve"> du 15 avril 2021 définit le rôle, les </w:t>
      </w:r>
      <w:r w:rsidR="003A7913" w:rsidRPr="00CB4EE1">
        <w:rPr>
          <w:rFonts w:asciiTheme="majorBidi" w:hAnsiTheme="majorBidi" w:cstheme="majorBidi"/>
          <w:sz w:val="28"/>
          <w:szCs w:val="28"/>
        </w:rPr>
        <w:t>attributions</w:t>
      </w:r>
      <w:r w:rsidRPr="00CB4EE1">
        <w:rPr>
          <w:rFonts w:asciiTheme="majorBidi" w:hAnsiTheme="majorBidi" w:cstheme="majorBidi"/>
          <w:sz w:val="28"/>
          <w:szCs w:val="28"/>
        </w:rPr>
        <w:t xml:space="preserve"> et les modalités de </w:t>
      </w:r>
      <w:r w:rsidR="003A7913" w:rsidRPr="00CB4EE1">
        <w:rPr>
          <w:rFonts w:asciiTheme="majorBidi" w:hAnsiTheme="majorBidi" w:cstheme="majorBidi"/>
          <w:sz w:val="28"/>
          <w:szCs w:val="28"/>
        </w:rPr>
        <w:t>désignation</w:t>
      </w:r>
      <w:r w:rsidRPr="00CB4EE1">
        <w:rPr>
          <w:rFonts w:asciiTheme="majorBidi" w:hAnsiTheme="majorBidi" w:cstheme="majorBidi"/>
          <w:sz w:val="28"/>
          <w:szCs w:val="28"/>
        </w:rPr>
        <w:t xml:space="preserve"> des responsables de programme.</w:t>
      </w:r>
    </w:p>
    <w:p w:rsidR="003A7913" w:rsidRPr="00CB4EE1" w:rsidRDefault="003A7913" w:rsidP="00CB4EE1">
      <w:pPr>
        <w:pStyle w:val="Paragraphedeliste"/>
        <w:numPr>
          <w:ilvl w:val="0"/>
          <w:numId w:val="23"/>
        </w:numPr>
        <w:jc w:val="both"/>
        <w:rPr>
          <w:rFonts w:asciiTheme="majorBidi" w:hAnsiTheme="majorBidi" w:cstheme="majorBidi"/>
          <w:b/>
          <w:bCs/>
          <w:sz w:val="28"/>
          <w:szCs w:val="28"/>
        </w:rPr>
      </w:pPr>
      <w:r w:rsidRPr="00CB4EE1">
        <w:rPr>
          <w:rFonts w:asciiTheme="majorBidi" w:hAnsiTheme="majorBidi" w:cstheme="majorBidi"/>
          <w:b/>
          <w:bCs/>
          <w:sz w:val="28"/>
          <w:szCs w:val="28"/>
        </w:rPr>
        <w:t>Au niveau de la définition des objectifs de performance :</w:t>
      </w:r>
    </w:p>
    <w:p w:rsidR="003A7913" w:rsidRPr="00CB4EE1" w:rsidRDefault="003A7913" w:rsidP="00A64154">
      <w:pPr>
        <w:jc w:val="both"/>
        <w:rPr>
          <w:rFonts w:asciiTheme="majorBidi" w:hAnsiTheme="majorBidi" w:cstheme="majorBidi"/>
          <w:sz w:val="28"/>
          <w:szCs w:val="28"/>
        </w:rPr>
      </w:pPr>
      <w:r w:rsidRPr="00CB4EE1">
        <w:rPr>
          <w:rFonts w:asciiTheme="majorBidi" w:hAnsiTheme="majorBidi" w:cstheme="majorBidi"/>
          <w:sz w:val="28"/>
          <w:szCs w:val="28"/>
        </w:rPr>
        <w:t xml:space="preserve">La définition de la stratégie du programme constitue une étape préalable primordiale pour définir ses objectifs et les indicateurs de leur mesure. Elle permet, d'une part, d'identifier et de délimiter les priorités, et d'autre part, de </w:t>
      </w:r>
      <w:r w:rsidR="0085587F">
        <w:rPr>
          <w:rFonts w:asciiTheme="majorBidi" w:hAnsiTheme="majorBidi" w:cstheme="majorBidi"/>
          <w:sz w:val="28"/>
          <w:szCs w:val="28"/>
        </w:rPr>
        <w:t>suggérer</w:t>
      </w:r>
      <w:r w:rsidRPr="00CB4EE1">
        <w:rPr>
          <w:rFonts w:asciiTheme="majorBidi" w:hAnsiTheme="majorBidi" w:cstheme="majorBidi"/>
          <w:sz w:val="28"/>
          <w:szCs w:val="28"/>
        </w:rPr>
        <w:t xml:space="preserve"> et justifier le choix d'un nombre limité d’objectifs pertinents et cohérents, variant par programmes, entre </w:t>
      </w:r>
      <w:r w:rsidR="0085587F">
        <w:rPr>
          <w:rFonts w:asciiTheme="majorBidi" w:hAnsiTheme="majorBidi" w:cstheme="majorBidi"/>
          <w:sz w:val="28"/>
          <w:szCs w:val="28"/>
        </w:rPr>
        <w:t>1</w:t>
      </w:r>
      <w:r w:rsidRPr="00CB4EE1">
        <w:rPr>
          <w:rFonts w:asciiTheme="majorBidi" w:hAnsiTheme="majorBidi" w:cstheme="majorBidi"/>
          <w:sz w:val="28"/>
          <w:szCs w:val="28"/>
        </w:rPr>
        <w:t xml:space="preserve"> et </w:t>
      </w:r>
      <w:r w:rsidR="0085587F">
        <w:rPr>
          <w:rFonts w:asciiTheme="majorBidi" w:hAnsiTheme="majorBidi" w:cstheme="majorBidi"/>
          <w:sz w:val="28"/>
          <w:szCs w:val="28"/>
        </w:rPr>
        <w:t>3</w:t>
      </w:r>
      <w:r w:rsidRPr="00CB4EE1">
        <w:rPr>
          <w:rFonts w:asciiTheme="majorBidi" w:hAnsiTheme="majorBidi" w:cstheme="majorBidi"/>
          <w:sz w:val="28"/>
          <w:szCs w:val="28"/>
        </w:rPr>
        <w:t xml:space="preserve"> objectifs au maximum. Ainsi, les départements ministériels et institutions doivent identifier des objectifs qui traduisent les principaux enjeux de la stratégie sectorielle, tout en </w:t>
      </w:r>
      <w:r w:rsidR="000C04CF" w:rsidRPr="00CB4EE1">
        <w:rPr>
          <w:rFonts w:asciiTheme="majorBidi" w:hAnsiTheme="majorBidi" w:cstheme="majorBidi"/>
          <w:sz w:val="28"/>
          <w:szCs w:val="28"/>
        </w:rPr>
        <w:t>veillant sur</w:t>
      </w:r>
      <w:r w:rsidRPr="00CB4EE1">
        <w:rPr>
          <w:rFonts w:asciiTheme="majorBidi" w:hAnsiTheme="majorBidi" w:cstheme="majorBidi"/>
          <w:sz w:val="28"/>
          <w:szCs w:val="28"/>
        </w:rPr>
        <w:t xml:space="preserve"> la convergence entre les objectifs du programme </w:t>
      </w:r>
      <w:r w:rsidR="000C04CF" w:rsidRPr="00CB4EE1">
        <w:rPr>
          <w:rFonts w:asciiTheme="majorBidi" w:hAnsiTheme="majorBidi" w:cstheme="majorBidi"/>
          <w:sz w:val="28"/>
          <w:szCs w:val="28"/>
        </w:rPr>
        <w:t xml:space="preserve">et </w:t>
      </w:r>
      <w:r w:rsidRPr="00CB4EE1">
        <w:rPr>
          <w:rFonts w:asciiTheme="majorBidi" w:hAnsiTheme="majorBidi" w:cstheme="majorBidi"/>
          <w:sz w:val="28"/>
          <w:szCs w:val="28"/>
        </w:rPr>
        <w:t xml:space="preserve">avec les objectifs des autres programmes du département ministériel ou l'institution. </w:t>
      </w:r>
      <w:r w:rsidR="00A64154">
        <w:rPr>
          <w:rFonts w:asciiTheme="majorBidi" w:hAnsiTheme="majorBidi" w:cstheme="majorBidi"/>
          <w:sz w:val="28"/>
          <w:szCs w:val="28"/>
        </w:rPr>
        <w:t>De même, l</w:t>
      </w:r>
      <w:r w:rsidRPr="00CB4EE1">
        <w:rPr>
          <w:rFonts w:asciiTheme="majorBidi" w:hAnsiTheme="majorBidi" w:cstheme="majorBidi"/>
          <w:sz w:val="28"/>
          <w:szCs w:val="28"/>
        </w:rPr>
        <w:t>es objectifs doivent</w:t>
      </w:r>
      <w:r w:rsidR="00A64154">
        <w:rPr>
          <w:rFonts w:asciiTheme="majorBidi" w:hAnsiTheme="majorBidi" w:cstheme="majorBidi"/>
          <w:sz w:val="28"/>
          <w:szCs w:val="28"/>
        </w:rPr>
        <w:t xml:space="preserve"> </w:t>
      </w:r>
      <w:r w:rsidRPr="00CB4EE1">
        <w:rPr>
          <w:rFonts w:asciiTheme="majorBidi" w:hAnsiTheme="majorBidi" w:cstheme="majorBidi"/>
          <w:sz w:val="28"/>
          <w:szCs w:val="28"/>
        </w:rPr>
        <w:t xml:space="preserve">couvrir </w:t>
      </w:r>
      <w:r w:rsidR="000C04CF" w:rsidRPr="00CB4EE1">
        <w:rPr>
          <w:rFonts w:asciiTheme="majorBidi" w:hAnsiTheme="majorBidi" w:cstheme="majorBidi"/>
          <w:sz w:val="28"/>
          <w:szCs w:val="28"/>
        </w:rPr>
        <w:t>l’ensemble d</w:t>
      </w:r>
      <w:r w:rsidRPr="00CB4EE1">
        <w:rPr>
          <w:rFonts w:asciiTheme="majorBidi" w:hAnsiTheme="majorBidi" w:cstheme="majorBidi"/>
          <w:sz w:val="28"/>
          <w:szCs w:val="28"/>
        </w:rPr>
        <w:t xml:space="preserve">es </w:t>
      </w:r>
      <w:r w:rsidR="000C04CF" w:rsidRPr="00CB4EE1">
        <w:rPr>
          <w:rFonts w:asciiTheme="majorBidi" w:hAnsiTheme="majorBidi" w:cstheme="majorBidi"/>
          <w:sz w:val="28"/>
          <w:szCs w:val="28"/>
        </w:rPr>
        <w:t>supports</w:t>
      </w:r>
      <w:r w:rsidRPr="00CB4EE1">
        <w:rPr>
          <w:rFonts w:asciiTheme="majorBidi" w:hAnsiTheme="majorBidi" w:cstheme="majorBidi"/>
          <w:sz w:val="28"/>
          <w:szCs w:val="28"/>
        </w:rPr>
        <w:t xml:space="preserve"> budgétaires des programmes. </w:t>
      </w:r>
      <w:r w:rsidR="000C04CF" w:rsidRPr="00CB4EE1">
        <w:rPr>
          <w:rFonts w:asciiTheme="majorBidi" w:hAnsiTheme="majorBidi" w:cstheme="majorBidi"/>
          <w:sz w:val="28"/>
          <w:szCs w:val="28"/>
        </w:rPr>
        <w:t xml:space="preserve">De la sorte, </w:t>
      </w:r>
      <w:r w:rsidRPr="00CB4EE1">
        <w:rPr>
          <w:rFonts w:asciiTheme="majorBidi" w:hAnsiTheme="majorBidi" w:cstheme="majorBidi"/>
          <w:sz w:val="28"/>
          <w:szCs w:val="28"/>
        </w:rPr>
        <w:t xml:space="preserve">Il faut veiller, </w:t>
      </w:r>
      <w:r w:rsidR="00A64154">
        <w:rPr>
          <w:rFonts w:asciiTheme="majorBidi" w:hAnsiTheme="majorBidi" w:cstheme="majorBidi"/>
          <w:sz w:val="28"/>
          <w:szCs w:val="28"/>
        </w:rPr>
        <w:t>en ce qui concerne</w:t>
      </w:r>
      <w:r w:rsidRPr="00CB4EE1">
        <w:rPr>
          <w:rFonts w:asciiTheme="majorBidi" w:hAnsiTheme="majorBidi" w:cstheme="majorBidi"/>
          <w:sz w:val="28"/>
          <w:szCs w:val="28"/>
        </w:rPr>
        <w:t xml:space="preserve"> les programmes financés principalement par des crédits </w:t>
      </w:r>
      <w:r w:rsidR="000C04CF" w:rsidRPr="00CB4EE1">
        <w:rPr>
          <w:rFonts w:asciiTheme="majorBidi" w:hAnsiTheme="majorBidi" w:cstheme="majorBidi"/>
          <w:sz w:val="28"/>
          <w:szCs w:val="28"/>
        </w:rPr>
        <w:t xml:space="preserve">émanant </w:t>
      </w:r>
      <w:r w:rsidRPr="00CB4EE1">
        <w:rPr>
          <w:rFonts w:asciiTheme="majorBidi" w:hAnsiTheme="majorBidi" w:cstheme="majorBidi"/>
          <w:sz w:val="28"/>
          <w:szCs w:val="28"/>
        </w:rPr>
        <w:t xml:space="preserve">des </w:t>
      </w:r>
      <w:r w:rsidR="000C04CF" w:rsidRPr="00CB4EE1">
        <w:rPr>
          <w:rFonts w:asciiTheme="majorBidi" w:hAnsiTheme="majorBidi" w:cstheme="majorBidi"/>
          <w:sz w:val="28"/>
          <w:szCs w:val="28"/>
        </w:rPr>
        <w:t>C</w:t>
      </w:r>
      <w:r w:rsidRPr="00CB4EE1">
        <w:rPr>
          <w:rFonts w:asciiTheme="majorBidi" w:hAnsiTheme="majorBidi" w:cstheme="majorBidi"/>
          <w:sz w:val="28"/>
          <w:szCs w:val="28"/>
        </w:rPr>
        <w:t>omptes d'</w:t>
      </w:r>
      <w:r w:rsidR="000C04CF" w:rsidRPr="00CB4EE1">
        <w:rPr>
          <w:rFonts w:asciiTheme="majorBidi" w:hAnsiTheme="majorBidi" w:cstheme="majorBidi"/>
          <w:sz w:val="28"/>
          <w:szCs w:val="28"/>
        </w:rPr>
        <w:t>A</w:t>
      </w:r>
      <w:r w:rsidRPr="00CB4EE1">
        <w:rPr>
          <w:rFonts w:asciiTheme="majorBidi" w:hAnsiTheme="majorBidi" w:cstheme="majorBidi"/>
          <w:sz w:val="28"/>
          <w:szCs w:val="28"/>
        </w:rPr>
        <w:t xml:space="preserve">ffectation </w:t>
      </w:r>
      <w:r w:rsidR="000C04CF" w:rsidRPr="00CB4EE1">
        <w:rPr>
          <w:rFonts w:asciiTheme="majorBidi" w:hAnsiTheme="majorBidi" w:cstheme="majorBidi"/>
          <w:sz w:val="28"/>
          <w:szCs w:val="28"/>
        </w:rPr>
        <w:t>S</w:t>
      </w:r>
      <w:r w:rsidRPr="00CB4EE1">
        <w:rPr>
          <w:rFonts w:asciiTheme="majorBidi" w:hAnsiTheme="majorBidi" w:cstheme="majorBidi"/>
          <w:sz w:val="28"/>
          <w:szCs w:val="28"/>
        </w:rPr>
        <w:t xml:space="preserve">péciale, à définir des objectifs et des indicateurs de performance liés au périmètre et aux </w:t>
      </w:r>
      <w:r w:rsidR="000C04CF" w:rsidRPr="00CB4EE1">
        <w:rPr>
          <w:rFonts w:asciiTheme="majorBidi" w:hAnsiTheme="majorBidi" w:cstheme="majorBidi"/>
          <w:sz w:val="28"/>
          <w:szCs w:val="28"/>
        </w:rPr>
        <w:t>finalités</w:t>
      </w:r>
      <w:r w:rsidRPr="00CB4EE1">
        <w:rPr>
          <w:rFonts w:asciiTheme="majorBidi" w:hAnsiTheme="majorBidi" w:cstheme="majorBidi"/>
          <w:sz w:val="28"/>
          <w:szCs w:val="28"/>
        </w:rPr>
        <w:t xml:space="preserve"> des comptes </w:t>
      </w:r>
      <w:r w:rsidR="000C04CF" w:rsidRPr="00CB4EE1">
        <w:rPr>
          <w:rFonts w:asciiTheme="majorBidi" w:hAnsiTheme="majorBidi" w:cstheme="majorBidi"/>
          <w:sz w:val="28"/>
          <w:szCs w:val="28"/>
        </w:rPr>
        <w:t xml:space="preserve">en </w:t>
      </w:r>
      <w:r w:rsidR="00FB2FBE" w:rsidRPr="00CB4EE1">
        <w:rPr>
          <w:rFonts w:asciiTheme="majorBidi" w:hAnsiTheme="majorBidi" w:cstheme="majorBidi"/>
          <w:sz w:val="28"/>
          <w:szCs w:val="28"/>
        </w:rPr>
        <w:t>question</w:t>
      </w:r>
      <w:r w:rsidRPr="00CB4EE1">
        <w:rPr>
          <w:rFonts w:asciiTheme="majorBidi" w:hAnsiTheme="majorBidi" w:cstheme="majorBidi"/>
          <w:sz w:val="28"/>
          <w:szCs w:val="28"/>
        </w:rPr>
        <w:t xml:space="preserve">, et </w:t>
      </w:r>
      <w:r w:rsidR="000C04CF" w:rsidRPr="00CB4EE1">
        <w:rPr>
          <w:rFonts w:asciiTheme="majorBidi" w:hAnsiTheme="majorBidi" w:cstheme="majorBidi"/>
          <w:sz w:val="28"/>
          <w:szCs w:val="28"/>
        </w:rPr>
        <w:t xml:space="preserve">qui </w:t>
      </w:r>
      <w:r w:rsidR="00FB2FBE" w:rsidRPr="00CB4EE1">
        <w:rPr>
          <w:rFonts w:asciiTheme="majorBidi" w:hAnsiTheme="majorBidi" w:cstheme="majorBidi"/>
          <w:sz w:val="28"/>
          <w:szCs w:val="28"/>
        </w:rPr>
        <w:t>reflètent</w:t>
      </w:r>
      <w:r w:rsidRPr="00CB4EE1">
        <w:rPr>
          <w:rFonts w:asciiTheme="majorBidi" w:hAnsiTheme="majorBidi" w:cstheme="majorBidi"/>
          <w:sz w:val="28"/>
          <w:szCs w:val="28"/>
        </w:rPr>
        <w:t xml:space="preserve"> </w:t>
      </w:r>
      <w:r w:rsidR="00A64154">
        <w:rPr>
          <w:rFonts w:asciiTheme="majorBidi" w:hAnsiTheme="majorBidi" w:cstheme="majorBidi"/>
          <w:sz w:val="28"/>
          <w:szCs w:val="28"/>
        </w:rPr>
        <w:t xml:space="preserve">leur </w:t>
      </w:r>
      <w:r w:rsidRPr="00CB4EE1">
        <w:rPr>
          <w:rFonts w:asciiTheme="majorBidi" w:hAnsiTheme="majorBidi" w:cstheme="majorBidi"/>
          <w:sz w:val="28"/>
          <w:szCs w:val="28"/>
        </w:rPr>
        <w:t>impact socio-économique.</w:t>
      </w:r>
    </w:p>
    <w:p w:rsidR="00FB2FBE" w:rsidRPr="00CB4EE1" w:rsidRDefault="00FB2FBE" w:rsidP="00CB4EE1">
      <w:pPr>
        <w:jc w:val="both"/>
        <w:rPr>
          <w:rFonts w:asciiTheme="majorBidi" w:hAnsiTheme="majorBidi" w:cstheme="majorBidi"/>
          <w:sz w:val="28"/>
          <w:szCs w:val="28"/>
        </w:rPr>
      </w:pPr>
      <w:r w:rsidRPr="00CB4EE1">
        <w:rPr>
          <w:rFonts w:asciiTheme="majorBidi" w:hAnsiTheme="majorBidi" w:cstheme="majorBidi"/>
          <w:sz w:val="28"/>
          <w:szCs w:val="28"/>
        </w:rPr>
        <w:t>Aussi, pour le choix des objectifs des programmes budgétaires, le département ministériel ou l'institution doit retenir les catégories liées à l'efficacité socio-économique, à la qualité de service et à l'efficience, veiller à l’équilibre entre ces catégories et respecter l’adéquation des objectifs avec la nature de la politique publique traduite par le programme concerné.</w:t>
      </w:r>
    </w:p>
    <w:p w:rsidR="00FB2FBE" w:rsidRPr="00CB4EE1" w:rsidRDefault="00FB2FBE" w:rsidP="00A64154">
      <w:pPr>
        <w:jc w:val="both"/>
        <w:rPr>
          <w:rFonts w:asciiTheme="majorBidi" w:hAnsiTheme="majorBidi" w:cstheme="majorBidi"/>
          <w:sz w:val="28"/>
          <w:szCs w:val="28"/>
        </w:rPr>
      </w:pPr>
      <w:r w:rsidRPr="00CB4EE1">
        <w:rPr>
          <w:rFonts w:asciiTheme="majorBidi" w:hAnsiTheme="majorBidi" w:cstheme="majorBidi"/>
          <w:sz w:val="28"/>
          <w:szCs w:val="28"/>
        </w:rPr>
        <w:t xml:space="preserve">Il est également </w:t>
      </w:r>
      <w:r w:rsidR="00A64154">
        <w:rPr>
          <w:rFonts w:asciiTheme="majorBidi" w:hAnsiTheme="majorBidi" w:cstheme="majorBidi"/>
          <w:sz w:val="28"/>
          <w:szCs w:val="28"/>
        </w:rPr>
        <w:t>préconisé</w:t>
      </w:r>
      <w:r w:rsidRPr="00CB4EE1">
        <w:rPr>
          <w:rFonts w:asciiTheme="majorBidi" w:hAnsiTheme="majorBidi" w:cstheme="majorBidi"/>
          <w:sz w:val="28"/>
          <w:szCs w:val="28"/>
        </w:rPr>
        <w:t xml:space="preserve"> de</w:t>
      </w:r>
      <w:r w:rsidR="00E31021" w:rsidRPr="00CB4EE1">
        <w:rPr>
          <w:rFonts w:asciiTheme="majorBidi" w:hAnsiTheme="majorBidi" w:cstheme="majorBidi"/>
          <w:sz w:val="28"/>
          <w:szCs w:val="28"/>
        </w:rPr>
        <w:t xml:space="preserve"> se</w:t>
      </w:r>
      <w:r w:rsidRPr="00CB4EE1">
        <w:rPr>
          <w:rFonts w:asciiTheme="majorBidi" w:hAnsiTheme="majorBidi" w:cstheme="majorBidi"/>
          <w:sz w:val="28"/>
          <w:szCs w:val="28"/>
        </w:rPr>
        <w:t xml:space="preserve"> limiter </w:t>
      </w:r>
      <w:r w:rsidR="00E31021" w:rsidRPr="00CB4EE1">
        <w:rPr>
          <w:rFonts w:asciiTheme="majorBidi" w:hAnsiTheme="majorBidi" w:cstheme="majorBidi"/>
          <w:sz w:val="28"/>
          <w:szCs w:val="28"/>
        </w:rPr>
        <w:t>aux</w:t>
      </w:r>
      <w:r w:rsidRPr="00CB4EE1">
        <w:rPr>
          <w:rFonts w:asciiTheme="majorBidi" w:hAnsiTheme="majorBidi" w:cstheme="majorBidi"/>
          <w:sz w:val="28"/>
          <w:szCs w:val="28"/>
        </w:rPr>
        <w:t xml:space="preserve"> objectifs qui relèvent des </w:t>
      </w:r>
      <w:r w:rsidR="00A64154">
        <w:rPr>
          <w:rFonts w:asciiTheme="majorBidi" w:hAnsiTheme="majorBidi" w:cstheme="majorBidi"/>
          <w:sz w:val="28"/>
          <w:szCs w:val="28"/>
        </w:rPr>
        <w:t>attributions</w:t>
      </w:r>
      <w:r w:rsidRPr="00CB4EE1">
        <w:rPr>
          <w:rFonts w:asciiTheme="majorBidi" w:hAnsiTheme="majorBidi" w:cstheme="majorBidi"/>
          <w:sz w:val="28"/>
          <w:szCs w:val="28"/>
        </w:rPr>
        <w:t xml:space="preserve"> du département concerné et/ou des </w:t>
      </w:r>
      <w:r w:rsidR="00E31021" w:rsidRPr="00CB4EE1">
        <w:rPr>
          <w:rFonts w:asciiTheme="majorBidi" w:hAnsiTheme="majorBidi" w:cstheme="majorBidi"/>
          <w:sz w:val="28"/>
          <w:szCs w:val="28"/>
        </w:rPr>
        <w:t>instances</w:t>
      </w:r>
      <w:r w:rsidRPr="00CB4EE1">
        <w:rPr>
          <w:rFonts w:asciiTheme="majorBidi" w:hAnsiTheme="majorBidi" w:cstheme="majorBidi"/>
          <w:sz w:val="28"/>
          <w:szCs w:val="28"/>
        </w:rPr>
        <w:t xml:space="preserve"> qui </w:t>
      </w:r>
      <w:r w:rsidR="00E31021" w:rsidRPr="00CB4EE1">
        <w:rPr>
          <w:rFonts w:asciiTheme="majorBidi" w:hAnsiTheme="majorBidi" w:cstheme="majorBidi"/>
          <w:sz w:val="28"/>
          <w:szCs w:val="28"/>
        </w:rPr>
        <w:t>en relèvent</w:t>
      </w:r>
      <w:r w:rsidRPr="00CB4EE1">
        <w:rPr>
          <w:rFonts w:asciiTheme="majorBidi" w:hAnsiTheme="majorBidi" w:cstheme="majorBidi"/>
          <w:sz w:val="28"/>
          <w:szCs w:val="28"/>
        </w:rPr>
        <w:t xml:space="preserve"> ou sous sa tutelle</w:t>
      </w:r>
      <w:r w:rsidR="00E31021" w:rsidRPr="00CB4EE1">
        <w:rPr>
          <w:rFonts w:asciiTheme="majorBidi" w:hAnsiTheme="majorBidi" w:cstheme="majorBidi"/>
          <w:sz w:val="28"/>
          <w:szCs w:val="28"/>
        </w:rPr>
        <w:t>, de manière à réduire</w:t>
      </w:r>
      <w:r w:rsidRPr="00CB4EE1">
        <w:rPr>
          <w:rFonts w:asciiTheme="majorBidi" w:hAnsiTheme="majorBidi" w:cstheme="majorBidi"/>
          <w:sz w:val="28"/>
          <w:szCs w:val="28"/>
        </w:rPr>
        <w:t xml:space="preserve"> l'influence des facteurs </w:t>
      </w:r>
      <w:r w:rsidR="00E31021" w:rsidRPr="00CB4EE1">
        <w:rPr>
          <w:rFonts w:asciiTheme="majorBidi" w:hAnsiTheme="majorBidi" w:cstheme="majorBidi"/>
          <w:sz w:val="28"/>
          <w:szCs w:val="28"/>
        </w:rPr>
        <w:t xml:space="preserve">exogènes dans la réalisation des </w:t>
      </w:r>
      <w:r w:rsidRPr="00CB4EE1">
        <w:rPr>
          <w:rFonts w:asciiTheme="majorBidi" w:hAnsiTheme="majorBidi" w:cstheme="majorBidi"/>
          <w:sz w:val="28"/>
          <w:szCs w:val="28"/>
        </w:rPr>
        <w:t xml:space="preserve">objectifs, </w:t>
      </w:r>
      <w:r w:rsidR="00E31021" w:rsidRPr="00CB4EE1">
        <w:rPr>
          <w:rFonts w:asciiTheme="majorBidi" w:hAnsiTheme="majorBidi" w:cstheme="majorBidi"/>
          <w:sz w:val="28"/>
          <w:szCs w:val="28"/>
        </w:rPr>
        <w:t>et les assortir des leviers d’actions</w:t>
      </w:r>
      <w:r w:rsidRPr="00CB4EE1">
        <w:rPr>
          <w:rFonts w:asciiTheme="majorBidi" w:hAnsiTheme="majorBidi" w:cstheme="majorBidi"/>
          <w:sz w:val="28"/>
          <w:szCs w:val="28"/>
        </w:rPr>
        <w:t xml:space="preserve"> nécessaires pour </w:t>
      </w:r>
      <w:r w:rsidR="00E31021" w:rsidRPr="00CB4EE1">
        <w:rPr>
          <w:rFonts w:asciiTheme="majorBidi" w:hAnsiTheme="majorBidi" w:cstheme="majorBidi"/>
          <w:sz w:val="28"/>
          <w:szCs w:val="28"/>
        </w:rPr>
        <w:t>leur atteinte</w:t>
      </w:r>
      <w:r w:rsidRPr="00CB4EE1">
        <w:rPr>
          <w:rFonts w:asciiTheme="majorBidi" w:hAnsiTheme="majorBidi" w:cstheme="majorBidi"/>
          <w:sz w:val="28"/>
          <w:szCs w:val="28"/>
        </w:rPr>
        <w:t xml:space="preserve"> et une analyse des risques potentiels qui pourraient compromettre leur réalisation.</w:t>
      </w:r>
    </w:p>
    <w:p w:rsidR="00FB2FBE" w:rsidRPr="00CB4EE1" w:rsidRDefault="00E31021" w:rsidP="00CB4EE1">
      <w:pPr>
        <w:jc w:val="both"/>
        <w:rPr>
          <w:rFonts w:asciiTheme="majorBidi" w:hAnsiTheme="majorBidi" w:cstheme="majorBidi"/>
          <w:sz w:val="28"/>
          <w:szCs w:val="28"/>
        </w:rPr>
      </w:pPr>
      <w:r w:rsidRPr="00CB4EE1">
        <w:rPr>
          <w:rFonts w:asciiTheme="majorBidi" w:hAnsiTheme="majorBidi" w:cstheme="majorBidi"/>
          <w:sz w:val="28"/>
          <w:szCs w:val="28"/>
        </w:rPr>
        <w:lastRenderedPageBreak/>
        <w:t>En outre, c</w:t>
      </w:r>
      <w:r w:rsidR="00FB2FBE" w:rsidRPr="00CB4EE1">
        <w:rPr>
          <w:rFonts w:asciiTheme="majorBidi" w:hAnsiTheme="majorBidi" w:cstheme="majorBidi"/>
          <w:sz w:val="28"/>
          <w:szCs w:val="28"/>
        </w:rPr>
        <w:t xml:space="preserve">ompte tenu du caractère transversal de la dimension genre, les objectifs </w:t>
      </w:r>
      <w:r w:rsidRPr="00CB4EE1">
        <w:rPr>
          <w:rFonts w:asciiTheme="majorBidi" w:hAnsiTheme="majorBidi" w:cstheme="majorBidi"/>
          <w:sz w:val="28"/>
          <w:szCs w:val="28"/>
        </w:rPr>
        <w:t>doivent</w:t>
      </w:r>
      <w:r w:rsidR="00FB2FBE" w:rsidRPr="00CB4EE1">
        <w:rPr>
          <w:rFonts w:asciiTheme="majorBidi" w:hAnsiTheme="majorBidi" w:cstheme="majorBidi"/>
          <w:sz w:val="28"/>
          <w:szCs w:val="28"/>
        </w:rPr>
        <w:t xml:space="preserve"> prendre en compte cette dimension </w:t>
      </w:r>
      <w:r w:rsidRPr="00CB4EE1">
        <w:rPr>
          <w:rFonts w:asciiTheme="majorBidi" w:hAnsiTheme="majorBidi" w:cstheme="majorBidi"/>
          <w:sz w:val="28"/>
          <w:szCs w:val="28"/>
        </w:rPr>
        <w:t xml:space="preserve">de façon à </w:t>
      </w:r>
      <w:r w:rsidR="00FB2FBE" w:rsidRPr="00CB4EE1">
        <w:rPr>
          <w:rFonts w:asciiTheme="majorBidi" w:hAnsiTheme="majorBidi" w:cstheme="majorBidi"/>
          <w:sz w:val="28"/>
          <w:szCs w:val="28"/>
        </w:rPr>
        <w:t xml:space="preserve">assurer la contribution du programme concerné à la réduction des inégalités basées sur le genre et à </w:t>
      </w:r>
      <w:r w:rsidRPr="00CB4EE1">
        <w:rPr>
          <w:rFonts w:asciiTheme="majorBidi" w:hAnsiTheme="majorBidi" w:cstheme="majorBidi"/>
          <w:sz w:val="28"/>
          <w:szCs w:val="28"/>
        </w:rPr>
        <w:t>la consécration</w:t>
      </w:r>
      <w:r w:rsidR="00FB2FBE" w:rsidRPr="00CB4EE1">
        <w:rPr>
          <w:rFonts w:asciiTheme="majorBidi" w:hAnsiTheme="majorBidi" w:cstheme="majorBidi"/>
          <w:sz w:val="28"/>
          <w:szCs w:val="28"/>
        </w:rPr>
        <w:t xml:space="preserve"> de l'équité et de l'égalité.</w:t>
      </w:r>
    </w:p>
    <w:p w:rsidR="008E089B" w:rsidRPr="00C61C5D" w:rsidRDefault="008E089B" w:rsidP="00CB4EE1">
      <w:pPr>
        <w:pStyle w:val="Paragraphedeliste"/>
        <w:numPr>
          <w:ilvl w:val="0"/>
          <w:numId w:val="24"/>
        </w:numPr>
        <w:jc w:val="both"/>
        <w:rPr>
          <w:rFonts w:asciiTheme="majorBidi" w:hAnsiTheme="majorBidi" w:cstheme="majorBidi"/>
          <w:b/>
          <w:bCs/>
          <w:sz w:val="28"/>
          <w:szCs w:val="28"/>
          <w:lang w:bidi="ar-MA"/>
        </w:rPr>
      </w:pPr>
      <w:r w:rsidRPr="00C61C5D">
        <w:rPr>
          <w:rFonts w:asciiTheme="majorBidi" w:hAnsiTheme="majorBidi" w:cstheme="majorBidi"/>
          <w:b/>
          <w:bCs/>
          <w:sz w:val="28"/>
          <w:szCs w:val="28"/>
          <w:lang w:bidi="ar-MA"/>
        </w:rPr>
        <w:t>Au niveau de la définition des indicateurs de performance :</w:t>
      </w:r>
    </w:p>
    <w:p w:rsidR="00FB2FBE" w:rsidRPr="00CB4EE1" w:rsidRDefault="008E089B" w:rsidP="00CB4EE1">
      <w:pPr>
        <w:jc w:val="both"/>
        <w:rPr>
          <w:rFonts w:asciiTheme="majorBidi" w:hAnsiTheme="majorBidi" w:cstheme="majorBidi"/>
          <w:sz w:val="28"/>
          <w:szCs w:val="28"/>
          <w:lang w:bidi="ar-MA"/>
        </w:rPr>
      </w:pPr>
      <w:r w:rsidRPr="00CB4EE1">
        <w:rPr>
          <w:rFonts w:asciiTheme="majorBidi" w:hAnsiTheme="majorBidi" w:cstheme="majorBidi"/>
          <w:sz w:val="28"/>
          <w:szCs w:val="28"/>
          <w:lang w:bidi="ar-MA"/>
        </w:rPr>
        <w:t xml:space="preserve">L'indicateur de performance est une représentation chiffrée qui permet de mesurer et d'évaluer le degré d'atteinte de l'objectif </w:t>
      </w:r>
      <w:r w:rsidR="003F0489" w:rsidRPr="00CB4EE1">
        <w:rPr>
          <w:rFonts w:asciiTheme="majorBidi" w:hAnsiTheme="majorBidi" w:cstheme="majorBidi"/>
          <w:sz w:val="28"/>
          <w:szCs w:val="28"/>
          <w:lang w:bidi="ar-MA"/>
        </w:rPr>
        <w:t>auquel il</w:t>
      </w:r>
      <w:r w:rsidRPr="00CB4EE1">
        <w:rPr>
          <w:rFonts w:asciiTheme="majorBidi" w:hAnsiTheme="majorBidi" w:cstheme="majorBidi"/>
          <w:sz w:val="28"/>
          <w:szCs w:val="28"/>
          <w:lang w:bidi="ar-MA"/>
        </w:rPr>
        <w:t xml:space="preserve"> est associé, y compris les cas liés aux aspects qualitatifs. </w:t>
      </w:r>
      <w:r w:rsidR="003F0489" w:rsidRPr="00CB4EE1">
        <w:rPr>
          <w:rFonts w:asciiTheme="majorBidi" w:hAnsiTheme="majorBidi" w:cstheme="majorBidi"/>
          <w:sz w:val="28"/>
          <w:szCs w:val="28"/>
          <w:lang w:bidi="ar-MA"/>
        </w:rPr>
        <w:t>L’indicateur</w:t>
      </w:r>
      <w:r w:rsidRPr="00CB4EE1">
        <w:rPr>
          <w:rFonts w:asciiTheme="majorBidi" w:hAnsiTheme="majorBidi" w:cstheme="majorBidi"/>
          <w:sz w:val="28"/>
          <w:szCs w:val="28"/>
          <w:lang w:bidi="ar-MA"/>
        </w:rPr>
        <w:t xml:space="preserve"> peut</w:t>
      </w:r>
      <w:r w:rsidR="003F0489" w:rsidRPr="00CB4EE1">
        <w:rPr>
          <w:rFonts w:asciiTheme="majorBidi" w:hAnsiTheme="majorBidi" w:cstheme="majorBidi"/>
          <w:sz w:val="28"/>
          <w:szCs w:val="28"/>
          <w:lang w:bidi="ar-MA"/>
        </w:rPr>
        <w:t>, s’il y échet, être</w:t>
      </w:r>
      <w:r w:rsidRPr="00CB4EE1">
        <w:rPr>
          <w:rFonts w:asciiTheme="majorBidi" w:hAnsiTheme="majorBidi" w:cstheme="majorBidi"/>
          <w:sz w:val="28"/>
          <w:szCs w:val="28"/>
          <w:lang w:bidi="ar-MA"/>
        </w:rPr>
        <w:t xml:space="preserve"> </w:t>
      </w:r>
      <w:r w:rsidR="003F0489" w:rsidRPr="00CB4EE1">
        <w:rPr>
          <w:rFonts w:asciiTheme="majorBidi" w:hAnsiTheme="majorBidi" w:cstheme="majorBidi"/>
          <w:sz w:val="28"/>
          <w:szCs w:val="28"/>
          <w:lang w:bidi="ar-MA"/>
        </w:rPr>
        <w:t>assorti de</w:t>
      </w:r>
      <w:r w:rsidRPr="00CB4EE1">
        <w:rPr>
          <w:rFonts w:asciiTheme="majorBidi" w:hAnsiTheme="majorBidi" w:cstheme="majorBidi"/>
          <w:sz w:val="28"/>
          <w:szCs w:val="28"/>
          <w:lang w:bidi="ar-MA"/>
        </w:rPr>
        <w:t xml:space="preserve"> sous-indicateurs afin de </w:t>
      </w:r>
      <w:r w:rsidR="003F0489" w:rsidRPr="00CB4EE1">
        <w:rPr>
          <w:rFonts w:asciiTheme="majorBidi" w:hAnsiTheme="majorBidi" w:cstheme="majorBidi"/>
          <w:sz w:val="28"/>
          <w:szCs w:val="28"/>
          <w:lang w:bidi="ar-MA"/>
        </w:rPr>
        <w:t>décliner</w:t>
      </w:r>
      <w:r w:rsidRPr="00CB4EE1">
        <w:rPr>
          <w:rFonts w:asciiTheme="majorBidi" w:hAnsiTheme="majorBidi" w:cstheme="majorBidi"/>
          <w:sz w:val="28"/>
          <w:szCs w:val="28"/>
          <w:lang w:bidi="ar-MA"/>
        </w:rPr>
        <w:t xml:space="preserve"> la performance </w:t>
      </w:r>
      <w:r w:rsidR="003F0489" w:rsidRPr="00CB4EE1">
        <w:rPr>
          <w:rFonts w:asciiTheme="majorBidi" w:hAnsiTheme="majorBidi" w:cstheme="majorBidi"/>
          <w:sz w:val="28"/>
          <w:szCs w:val="28"/>
          <w:lang w:bidi="ar-MA"/>
        </w:rPr>
        <w:t>aux différents</w:t>
      </w:r>
      <w:r w:rsidRPr="00CB4EE1">
        <w:rPr>
          <w:rFonts w:asciiTheme="majorBidi" w:hAnsiTheme="majorBidi" w:cstheme="majorBidi"/>
          <w:sz w:val="28"/>
          <w:szCs w:val="28"/>
          <w:lang w:bidi="ar-MA"/>
        </w:rPr>
        <w:t xml:space="preserve"> niveaux</w:t>
      </w:r>
      <w:r w:rsidR="003F0489" w:rsidRPr="00CB4EE1">
        <w:rPr>
          <w:rFonts w:asciiTheme="majorBidi" w:hAnsiTheme="majorBidi" w:cstheme="majorBidi"/>
          <w:sz w:val="28"/>
          <w:szCs w:val="28"/>
          <w:lang w:bidi="ar-MA"/>
        </w:rPr>
        <w:t xml:space="preserve"> liés</w:t>
      </w:r>
      <w:r w:rsidRPr="00CB4EE1">
        <w:rPr>
          <w:rFonts w:asciiTheme="majorBidi" w:hAnsiTheme="majorBidi" w:cstheme="majorBidi"/>
          <w:sz w:val="28"/>
          <w:szCs w:val="28"/>
          <w:lang w:bidi="ar-MA"/>
        </w:rPr>
        <w:t>, notamment</w:t>
      </w:r>
      <w:r w:rsidR="003F0489" w:rsidRPr="00CB4EE1">
        <w:rPr>
          <w:rFonts w:asciiTheme="majorBidi" w:hAnsiTheme="majorBidi" w:cstheme="majorBidi"/>
          <w:sz w:val="28"/>
          <w:szCs w:val="28"/>
          <w:lang w:bidi="ar-MA"/>
        </w:rPr>
        <w:t>,</w:t>
      </w:r>
      <w:r w:rsidRPr="00CB4EE1">
        <w:rPr>
          <w:rFonts w:asciiTheme="majorBidi" w:hAnsiTheme="majorBidi" w:cstheme="majorBidi"/>
          <w:sz w:val="28"/>
          <w:szCs w:val="28"/>
          <w:lang w:bidi="ar-MA"/>
        </w:rPr>
        <w:t xml:space="preserve"> au genre, à la dimension </w:t>
      </w:r>
      <w:r w:rsidR="003F0489" w:rsidRPr="00CB4EE1">
        <w:rPr>
          <w:rFonts w:asciiTheme="majorBidi" w:hAnsiTheme="majorBidi" w:cstheme="majorBidi"/>
          <w:sz w:val="28"/>
          <w:szCs w:val="28"/>
          <w:lang w:bidi="ar-MA"/>
        </w:rPr>
        <w:t>territoriale</w:t>
      </w:r>
      <w:r w:rsidRPr="00CB4EE1">
        <w:rPr>
          <w:rFonts w:asciiTheme="majorBidi" w:hAnsiTheme="majorBidi" w:cstheme="majorBidi"/>
          <w:sz w:val="28"/>
          <w:szCs w:val="28"/>
          <w:lang w:bidi="ar-MA"/>
        </w:rPr>
        <w:t xml:space="preserve">, aux </w:t>
      </w:r>
      <w:r w:rsidR="004E6DD4" w:rsidRPr="00CB4EE1">
        <w:rPr>
          <w:rFonts w:asciiTheme="majorBidi" w:hAnsiTheme="majorBidi" w:cstheme="majorBidi"/>
          <w:sz w:val="28"/>
          <w:szCs w:val="28"/>
          <w:lang w:bidi="ar-MA"/>
        </w:rPr>
        <w:t>spécificités</w:t>
      </w:r>
      <w:r w:rsidRPr="00CB4EE1">
        <w:rPr>
          <w:rFonts w:asciiTheme="majorBidi" w:hAnsiTheme="majorBidi" w:cstheme="majorBidi"/>
          <w:sz w:val="28"/>
          <w:szCs w:val="28"/>
          <w:lang w:bidi="ar-MA"/>
        </w:rPr>
        <w:t xml:space="preserve"> du département ministériel, ou à tout autre critère </w:t>
      </w:r>
      <w:r w:rsidR="004E6DD4" w:rsidRPr="00CB4EE1">
        <w:rPr>
          <w:rFonts w:asciiTheme="majorBidi" w:hAnsiTheme="majorBidi" w:cstheme="majorBidi"/>
          <w:sz w:val="28"/>
          <w:szCs w:val="28"/>
          <w:lang w:bidi="ar-MA"/>
        </w:rPr>
        <w:t>y afférent</w:t>
      </w:r>
      <w:r w:rsidRPr="00CB4EE1">
        <w:rPr>
          <w:rFonts w:asciiTheme="majorBidi" w:hAnsiTheme="majorBidi" w:cstheme="majorBidi"/>
          <w:sz w:val="28"/>
          <w:szCs w:val="28"/>
          <w:lang w:bidi="ar-MA"/>
        </w:rPr>
        <w:t>.</w:t>
      </w:r>
    </w:p>
    <w:p w:rsidR="004E6DD4" w:rsidRPr="00CB4EE1" w:rsidRDefault="004E6DD4" w:rsidP="00C61C5D">
      <w:pPr>
        <w:jc w:val="both"/>
        <w:rPr>
          <w:rFonts w:asciiTheme="majorBidi" w:hAnsiTheme="majorBidi" w:cstheme="majorBidi"/>
          <w:sz w:val="28"/>
          <w:szCs w:val="28"/>
          <w:lang w:bidi="ar-MA"/>
        </w:rPr>
      </w:pPr>
      <w:r w:rsidRPr="00CB4EE1">
        <w:rPr>
          <w:rFonts w:asciiTheme="majorBidi" w:hAnsiTheme="majorBidi" w:cstheme="majorBidi"/>
          <w:sz w:val="28"/>
          <w:szCs w:val="28"/>
          <w:lang w:bidi="ar-MA"/>
        </w:rPr>
        <w:t xml:space="preserve">A l'instar des objectifs </w:t>
      </w:r>
      <w:r w:rsidR="00367D48" w:rsidRPr="00CB4EE1">
        <w:rPr>
          <w:rFonts w:asciiTheme="majorBidi" w:hAnsiTheme="majorBidi" w:cstheme="majorBidi"/>
          <w:sz w:val="28"/>
          <w:szCs w:val="28"/>
          <w:lang w:bidi="ar-MA"/>
        </w:rPr>
        <w:t>auquel ils</w:t>
      </w:r>
      <w:r w:rsidRPr="00CB4EE1">
        <w:rPr>
          <w:rFonts w:asciiTheme="majorBidi" w:hAnsiTheme="majorBidi" w:cstheme="majorBidi"/>
          <w:sz w:val="28"/>
          <w:szCs w:val="28"/>
          <w:lang w:bidi="ar-MA"/>
        </w:rPr>
        <w:t xml:space="preserve"> sont associés, la pertinence des indicateurs exige qu'ils retracent et permettent de mesurer l'une des dimensions fondamentales du programme liées à l'efficacité socio-économique, à l'efficience et à la qualité de service, et que sa réalisation soit tributaire des leviers et des facteurs propres au programme de rattachement tout en neutralisant l'influence des facteurs exogènes. Le nombre d'indicateurs et de sous-indicateurs doit être limité pour faciliter leur lisibilité, et varier entre 1 à 3 indicateurs de performance par objectif et entre 2 à 3 sous-indicateurs de performance par indicateur.</w:t>
      </w:r>
    </w:p>
    <w:p w:rsidR="00367D48" w:rsidRPr="00CB4EE1" w:rsidRDefault="00367D48" w:rsidP="00CB4EE1">
      <w:pPr>
        <w:jc w:val="both"/>
        <w:rPr>
          <w:rFonts w:asciiTheme="majorBidi" w:hAnsiTheme="majorBidi" w:cstheme="majorBidi"/>
          <w:sz w:val="28"/>
          <w:szCs w:val="28"/>
          <w:lang w:bidi="ar-MA"/>
        </w:rPr>
      </w:pPr>
      <w:r w:rsidRPr="00CB4EE1">
        <w:rPr>
          <w:rFonts w:asciiTheme="majorBidi" w:hAnsiTheme="majorBidi" w:cstheme="majorBidi"/>
          <w:sz w:val="28"/>
          <w:szCs w:val="28"/>
          <w:lang w:bidi="ar-MA"/>
        </w:rPr>
        <w:t xml:space="preserve">Dans ce cadre, les départements ministériels et institutions devraient </w:t>
      </w:r>
      <w:r w:rsidR="00E24808" w:rsidRPr="00CB4EE1">
        <w:rPr>
          <w:rFonts w:asciiTheme="majorBidi" w:hAnsiTheme="majorBidi" w:cstheme="majorBidi"/>
          <w:sz w:val="28"/>
          <w:szCs w:val="28"/>
          <w:lang w:bidi="ar-MA"/>
        </w:rPr>
        <w:t>œuvrer</w:t>
      </w:r>
      <w:r w:rsidRPr="00CB4EE1">
        <w:rPr>
          <w:rFonts w:asciiTheme="majorBidi" w:hAnsiTheme="majorBidi" w:cstheme="majorBidi"/>
          <w:sz w:val="28"/>
          <w:szCs w:val="28"/>
          <w:lang w:bidi="ar-MA"/>
        </w:rPr>
        <w:t xml:space="preserve"> à l'amélioration de leurs indicateurs, notamment à travers :</w:t>
      </w:r>
    </w:p>
    <w:p w:rsidR="00367D48" w:rsidRPr="00CB4EE1" w:rsidRDefault="00367D48" w:rsidP="00C61C5D">
      <w:pPr>
        <w:pStyle w:val="Paragraphedeliste"/>
        <w:numPr>
          <w:ilvl w:val="0"/>
          <w:numId w:val="25"/>
        </w:numPr>
        <w:jc w:val="both"/>
        <w:rPr>
          <w:rFonts w:asciiTheme="majorBidi" w:hAnsiTheme="majorBidi" w:cstheme="majorBidi"/>
          <w:sz w:val="28"/>
          <w:szCs w:val="28"/>
          <w:lang w:bidi="ar-MA"/>
        </w:rPr>
      </w:pPr>
      <w:r w:rsidRPr="00CB4EE1">
        <w:rPr>
          <w:rFonts w:asciiTheme="majorBidi" w:hAnsiTheme="majorBidi" w:cstheme="majorBidi"/>
          <w:sz w:val="28"/>
          <w:szCs w:val="28"/>
          <w:lang w:bidi="ar-MA"/>
        </w:rPr>
        <w:t xml:space="preserve">Substituer et/ou supprimer les indicateurs d'activités ou de moyens, ainsi que </w:t>
      </w:r>
      <w:r w:rsidR="00C61C5D">
        <w:rPr>
          <w:rFonts w:asciiTheme="majorBidi" w:hAnsiTheme="majorBidi" w:cstheme="majorBidi"/>
          <w:sz w:val="28"/>
          <w:szCs w:val="28"/>
          <w:lang w:bidi="ar-MA"/>
        </w:rPr>
        <w:t>l</w:t>
      </w:r>
      <w:r w:rsidRPr="00CB4EE1">
        <w:rPr>
          <w:rFonts w:asciiTheme="majorBidi" w:hAnsiTheme="majorBidi" w:cstheme="majorBidi"/>
          <w:sz w:val="28"/>
          <w:szCs w:val="28"/>
          <w:lang w:bidi="ar-MA"/>
        </w:rPr>
        <w:t>es indicateurs ne permettant pas de mesurer les réalisations ou non assortis de prévisions annuelles et de valeur cible ;</w:t>
      </w:r>
    </w:p>
    <w:p w:rsidR="00367D48" w:rsidRPr="00CB4EE1" w:rsidRDefault="00367D48" w:rsidP="00CB4EE1">
      <w:pPr>
        <w:pStyle w:val="Paragraphedeliste"/>
        <w:numPr>
          <w:ilvl w:val="0"/>
          <w:numId w:val="25"/>
        </w:numPr>
        <w:jc w:val="both"/>
        <w:rPr>
          <w:rFonts w:asciiTheme="majorBidi" w:hAnsiTheme="majorBidi" w:cstheme="majorBidi"/>
          <w:sz w:val="28"/>
          <w:szCs w:val="28"/>
          <w:lang w:bidi="ar-MA"/>
        </w:rPr>
      </w:pPr>
      <w:r w:rsidRPr="00CB4EE1">
        <w:rPr>
          <w:rFonts w:asciiTheme="majorBidi" w:hAnsiTheme="majorBidi" w:cstheme="majorBidi"/>
          <w:sz w:val="28"/>
          <w:szCs w:val="28"/>
          <w:lang w:bidi="ar-MA"/>
        </w:rPr>
        <w:t>Circonscrire la création de nouveaux indicateurs aux indicateurs traduisant l'une des dimensions de la performance ;</w:t>
      </w:r>
    </w:p>
    <w:p w:rsidR="00367D48" w:rsidRPr="00CB4EE1" w:rsidRDefault="00367D48" w:rsidP="00CB4EE1">
      <w:pPr>
        <w:pStyle w:val="Paragraphedeliste"/>
        <w:numPr>
          <w:ilvl w:val="0"/>
          <w:numId w:val="25"/>
        </w:numPr>
        <w:jc w:val="both"/>
        <w:rPr>
          <w:rFonts w:asciiTheme="majorBidi" w:hAnsiTheme="majorBidi" w:cstheme="majorBidi"/>
          <w:sz w:val="28"/>
          <w:szCs w:val="28"/>
          <w:lang w:bidi="ar-MA"/>
        </w:rPr>
      </w:pPr>
      <w:r w:rsidRPr="00CB4EE1">
        <w:rPr>
          <w:rFonts w:asciiTheme="majorBidi" w:hAnsiTheme="majorBidi" w:cstheme="majorBidi"/>
          <w:sz w:val="28"/>
          <w:szCs w:val="28"/>
          <w:lang w:bidi="ar-MA"/>
        </w:rPr>
        <w:t>Définir des valeurs prévisionnelles et des valeurs cibles ambitieuses qui découlent de la stratégie du département ministériel ou de l'institution et qui s'appuient sur une analyse objective des résultats ;</w:t>
      </w:r>
    </w:p>
    <w:p w:rsidR="00367D48" w:rsidRPr="00CB4EE1" w:rsidRDefault="00367D48" w:rsidP="000E714C">
      <w:pPr>
        <w:pStyle w:val="Paragraphedeliste"/>
        <w:numPr>
          <w:ilvl w:val="0"/>
          <w:numId w:val="25"/>
        </w:numPr>
        <w:jc w:val="both"/>
        <w:rPr>
          <w:rFonts w:asciiTheme="majorBidi" w:hAnsiTheme="majorBidi" w:cstheme="majorBidi"/>
          <w:sz w:val="28"/>
          <w:szCs w:val="28"/>
          <w:lang w:bidi="ar-MA"/>
        </w:rPr>
      </w:pPr>
      <w:r w:rsidRPr="00CB4EE1">
        <w:rPr>
          <w:rFonts w:asciiTheme="majorBidi" w:hAnsiTheme="majorBidi" w:cstheme="majorBidi"/>
          <w:sz w:val="28"/>
          <w:szCs w:val="28"/>
          <w:lang w:bidi="ar-MA"/>
        </w:rPr>
        <w:t xml:space="preserve">S'assurer de la fiabilité des indicateurs et de la sincérité des informations qu'ils fournissent à travers la documentation de toutes les précisions méthodologiques et la présentation précise du mode de  collecte et de calcule des informations liées aux indicateurs. Le calcul des indicateurs devrait également reposer sur des procédures et </w:t>
      </w:r>
      <w:r w:rsidR="00CB4EE1" w:rsidRPr="00CB4EE1">
        <w:rPr>
          <w:rFonts w:asciiTheme="majorBidi" w:hAnsiTheme="majorBidi" w:cstheme="majorBidi"/>
          <w:sz w:val="28"/>
          <w:szCs w:val="28"/>
          <w:lang w:bidi="ar-MA"/>
        </w:rPr>
        <w:t xml:space="preserve">des </w:t>
      </w:r>
      <w:r w:rsidRPr="00CB4EE1">
        <w:rPr>
          <w:rFonts w:asciiTheme="majorBidi" w:hAnsiTheme="majorBidi" w:cstheme="majorBidi"/>
          <w:sz w:val="28"/>
          <w:szCs w:val="28"/>
          <w:lang w:bidi="ar-MA"/>
        </w:rPr>
        <w:t xml:space="preserve">mécanismes </w:t>
      </w:r>
      <w:r w:rsidR="00CB4EE1" w:rsidRPr="00CB4EE1">
        <w:rPr>
          <w:rFonts w:asciiTheme="majorBidi" w:hAnsiTheme="majorBidi" w:cstheme="majorBidi"/>
          <w:sz w:val="28"/>
          <w:szCs w:val="28"/>
          <w:lang w:bidi="ar-MA"/>
        </w:rPr>
        <w:t>fiables</w:t>
      </w:r>
      <w:r w:rsidRPr="00CB4EE1">
        <w:rPr>
          <w:rFonts w:asciiTheme="majorBidi" w:hAnsiTheme="majorBidi" w:cstheme="majorBidi"/>
          <w:sz w:val="28"/>
          <w:szCs w:val="28"/>
          <w:lang w:bidi="ar-MA"/>
        </w:rPr>
        <w:t xml:space="preserve"> afin de permettre </w:t>
      </w:r>
      <w:r w:rsidR="000E714C" w:rsidRPr="00CB4EE1">
        <w:rPr>
          <w:rFonts w:asciiTheme="majorBidi" w:hAnsiTheme="majorBidi" w:cstheme="majorBidi"/>
          <w:sz w:val="28"/>
          <w:szCs w:val="28"/>
          <w:lang w:bidi="ar-MA"/>
        </w:rPr>
        <w:t>le traitement</w:t>
      </w:r>
      <w:r w:rsidR="000E714C">
        <w:rPr>
          <w:rFonts w:asciiTheme="majorBidi" w:hAnsiTheme="majorBidi" w:cstheme="majorBidi"/>
          <w:sz w:val="28"/>
          <w:szCs w:val="28"/>
          <w:lang w:bidi="ar-MA"/>
        </w:rPr>
        <w:t>,</w:t>
      </w:r>
      <w:r w:rsidR="000E714C" w:rsidRPr="00CB4EE1">
        <w:rPr>
          <w:rFonts w:asciiTheme="majorBidi" w:hAnsiTheme="majorBidi" w:cstheme="majorBidi"/>
          <w:sz w:val="28"/>
          <w:szCs w:val="28"/>
          <w:lang w:bidi="ar-MA"/>
        </w:rPr>
        <w:t xml:space="preserve"> </w:t>
      </w:r>
      <w:r w:rsidR="000E714C">
        <w:rPr>
          <w:rFonts w:asciiTheme="majorBidi" w:hAnsiTheme="majorBidi" w:cstheme="majorBidi"/>
          <w:sz w:val="28"/>
          <w:szCs w:val="28"/>
          <w:lang w:bidi="ar-MA"/>
        </w:rPr>
        <w:t>le suivi, la consolidation</w:t>
      </w:r>
      <w:r w:rsidRPr="00CB4EE1">
        <w:rPr>
          <w:rFonts w:asciiTheme="majorBidi" w:hAnsiTheme="majorBidi" w:cstheme="majorBidi"/>
          <w:sz w:val="28"/>
          <w:szCs w:val="28"/>
          <w:lang w:bidi="ar-MA"/>
        </w:rPr>
        <w:t xml:space="preserve"> et la </w:t>
      </w:r>
      <w:r w:rsidR="00CB4EE1" w:rsidRPr="00CB4EE1">
        <w:rPr>
          <w:rFonts w:asciiTheme="majorBidi" w:hAnsiTheme="majorBidi" w:cstheme="majorBidi"/>
          <w:sz w:val="28"/>
          <w:szCs w:val="28"/>
          <w:lang w:bidi="ar-MA"/>
        </w:rPr>
        <w:t xml:space="preserve">sauvegarde les </w:t>
      </w:r>
      <w:r w:rsidRPr="00CB4EE1">
        <w:rPr>
          <w:rFonts w:asciiTheme="majorBidi" w:hAnsiTheme="majorBidi" w:cstheme="majorBidi"/>
          <w:sz w:val="28"/>
          <w:szCs w:val="28"/>
          <w:lang w:bidi="ar-MA"/>
        </w:rPr>
        <w:t>données et documents</w:t>
      </w:r>
      <w:r w:rsidR="00CB4EE1" w:rsidRPr="00CB4EE1">
        <w:rPr>
          <w:rFonts w:asciiTheme="majorBidi" w:hAnsiTheme="majorBidi" w:cstheme="majorBidi"/>
          <w:sz w:val="28"/>
          <w:szCs w:val="28"/>
          <w:lang w:bidi="ar-MA"/>
        </w:rPr>
        <w:t xml:space="preserve"> y afférents</w:t>
      </w:r>
      <w:r w:rsidRPr="00CB4EE1">
        <w:rPr>
          <w:rFonts w:asciiTheme="majorBidi" w:hAnsiTheme="majorBidi" w:cstheme="majorBidi"/>
          <w:sz w:val="28"/>
          <w:szCs w:val="28"/>
          <w:lang w:bidi="ar-MA"/>
        </w:rPr>
        <w:t xml:space="preserve">, notamment </w:t>
      </w:r>
      <w:r w:rsidR="00CB4EE1" w:rsidRPr="00CB4EE1">
        <w:rPr>
          <w:rFonts w:asciiTheme="majorBidi" w:hAnsiTheme="majorBidi" w:cstheme="majorBidi"/>
          <w:sz w:val="28"/>
          <w:szCs w:val="28"/>
          <w:lang w:bidi="ar-MA"/>
        </w:rPr>
        <w:t xml:space="preserve">aux </w:t>
      </w:r>
      <w:r w:rsidRPr="00CB4EE1">
        <w:rPr>
          <w:rFonts w:asciiTheme="majorBidi" w:hAnsiTheme="majorBidi" w:cstheme="majorBidi"/>
          <w:sz w:val="28"/>
          <w:szCs w:val="28"/>
          <w:lang w:bidi="ar-MA"/>
        </w:rPr>
        <w:t>fins d'interprétation et de justification de leurs résultats, ainsi que pour leur évaluation et audit.</w:t>
      </w:r>
    </w:p>
    <w:p w:rsidR="00CB4EE1" w:rsidRPr="00CB4EE1" w:rsidRDefault="00CB4EE1" w:rsidP="00CB4EE1">
      <w:pPr>
        <w:pStyle w:val="Paragraphedeliste"/>
        <w:spacing w:before="240" w:after="120"/>
        <w:ind w:left="1083"/>
        <w:contextualSpacing w:val="0"/>
        <w:jc w:val="both"/>
        <w:rPr>
          <w:rFonts w:asciiTheme="majorBidi" w:eastAsia="Batang" w:hAnsiTheme="majorBidi" w:cstheme="majorBidi"/>
          <w:b/>
          <w:bCs/>
          <w:sz w:val="28"/>
          <w:szCs w:val="28"/>
          <w:lang w:bidi="ar-MA"/>
        </w:rPr>
      </w:pPr>
    </w:p>
    <w:p w:rsidR="009D0DA1" w:rsidRPr="00CB4EE1" w:rsidRDefault="009D0DA1" w:rsidP="00CB4EE1">
      <w:pPr>
        <w:pStyle w:val="Paragraphedeliste"/>
        <w:numPr>
          <w:ilvl w:val="0"/>
          <w:numId w:val="17"/>
        </w:numPr>
        <w:spacing w:before="240" w:after="120"/>
        <w:ind w:left="1083" w:hanging="374"/>
        <w:contextualSpacing w:val="0"/>
        <w:jc w:val="both"/>
        <w:rPr>
          <w:rFonts w:asciiTheme="majorBidi" w:eastAsia="Batang" w:hAnsiTheme="majorBidi" w:cstheme="majorBidi"/>
          <w:b/>
          <w:bCs/>
          <w:sz w:val="28"/>
          <w:szCs w:val="28"/>
          <w:lang w:bidi="ar-MA"/>
        </w:rPr>
      </w:pPr>
      <w:r w:rsidRPr="00CB4EE1">
        <w:rPr>
          <w:rFonts w:asciiTheme="majorBidi" w:eastAsia="Batang" w:hAnsiTheme="majorBidi" w:cstheme="majorBidi"/>
          <w:b/>
          <w:bCs/>
          <w:sz w:val="28"/>
          <w:szCs w:val="28"/>
          <w:lang w:bidi="ar-MA"/>
        </w:rPr>
        <w:t>Au niveau de l’élaboration du Rapports de performance et la présentation des résultats</w:t>
      </w:r>
    </w:p>
    <w:p w:rsidR="00A4271F" w:rsidRPr="00CB4EE1" w:rsidRDefault="00A4271F" w:rsidP="00CB4EE1">
      <w:pPr>
        <w:spacing w:before="120" w:after="120"/>
        <w:ind w:firstLine="708"/>
        <w:jc w:val="both"/>
        <w:rPr>
          <w:rFonts w:asciiTheme="majorBidi" w:eastAsia="Batang" w:hAnsiTheme="majorBidi" w:cstheme="majorBidi"/>
          <w:sz w:val="28"/>
          <w:szCs w:val="28"/>
          <w:rtl/>
          <w:lang w:bidi="ar-MA"/>
        </w:rPr>
      </w:pPr>
      <w:r w:rsidRPr="00CB4EE1">
        <w:rPr>
          <w:rFonts w:asciiTheme="majorBidi" w:eastAsia="Batang" w:hAnsiTheme="majorBidi" w:cstheme="majorBidi"/>
          <w:sz w:val="28"/>
          <w:szCs w:val="28"/>
          <w:lang w:bidi="ar-MA"/>
        </w:rPr>
        <w:t xml:space="preserve">Conformément aux dispositions de la loi organique relative à la loi de finances  et du </w:t>
      </w:r>
      <w:r w:rsidR="00CB4EE1" w:rsidRPr="00CB4EE1">
        <w:rPr>
          <w:rFonts w:asciiTheme="majorBidi" w:eastAsia="Batang" w:hAnsiTheme="majorBidi" w:cstheme="majorBidi"/>
          <w:sz w:val="28"/>
          <w:szCs w:val="28"/>
          <w:lang w:bidi="ar-MA"/>
        </w:rPr>
        <w:t>d</w:t>
      </w:r>
      <w:r w:rsidRPr="00CB4EE1">
        <w:rPr>
          <w:rFonts w:asciiTheme="majorBidi" w:eastAsia="Batang" w:hAnsiTheme="majorBidi" w:cstheme="majorBidi"/>
          <w:sz w:val="28"/>
          <w:szCs w:val="28"/>
          <w:lang w:bidi="ar-MA"/>
        </w:rPr>
        <w:t>écret n° 2-15-426 précité, les rapports de performance établis par les départements ministériels ou institutions, doivent retracer les résultats atteints et mettre en évidence les écarts éventuels avec les prévisions inscrites au niveau des projets de performance. Lesdits rapports sont transmis au ministère chargé des finances, au plus tard à la fin du mois de juillet de l’année qui suit celle de l’exécution de la loi de finances concernée, aux fins d’établissement du rapport annuel de performance accompagnant le projet de loi de règlement de la loi de finances</w:t>
      </w:r>
      <w:r w:rsidRPr="00CB4EE1">
        <w:rPr>
          <w:rFonts w:asciiTheme="majorBidi" w:eastAsia="Batang" w:hAnsiTheme="majorBidi" w:cstheme="majorBidi"/>
          <w:sz w:val="28"/>
          <w:szCs w:val="28"/>
          <w:rtl/>
          <w:lang w:bidi="ar-MA"/>
        </w:rPr>
        <w:t>.</w:t>
      </w:r>
    </w:p>
    <w:p w:rsidR="009D0DA1" w:rsidRPr="00CB4EE1" w:rsidRDefault="009D0DA1" w:rsidP="00CB4EE1">
      <w:pPr>
        <w:spacing w:before="120" w:after="120"/>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 xml:space="preserve">À cet égard, les départements ministériels et institutions doivent : </w:t>
      </w:r>
    </w:p>
    <w:p w:rsidR="009D0DA1" w:rsidRPr="00CB4EE1" w:rsidRDefault="00DF139B" w:rsidP="00CB4EE1">
      <w:pPr>
        <w:pStyle w:val="Paragraphedeliste"/>
        <w:numPr>
          <w:ilvl w:val="0"/>
          <w:numId w:val="1"/>
        </w:numPr>
        <w:spacing w:before="120" w:after="120"/>
        <w:jc w:val="both"/>
        <w:rPr>
          <w:rFonts w:asciiTheme="majorBidi" w:hAnsiTheme="majorBidi" w:cstheme="majorBidi"/>
          <w:sz w:val="28"/>
          <w:szCs w:val="28"/>
          <w:lang w:val="fr-MA" w:bidi="ar-MA"/>
        </w:rPr>
      </w:pPr>
      <w:r w:rsidRPr="00CB4EE1">
        <w:rPr>
          <w:rFonts w:asciiTheme="majorBidi" w:eastAsia="Batang" w:hAnsiTheme="majorBidi" w:cstheme="majorBidi"/>
          <w:sz w:val="28"/>
          <w:szCs w:val="28"/>
          <w:lang w:bidi="ar-MA"/>
        </w:rPr>
        <w:t>R</w:t>
      </w:r>
      <w:r w:rsidR="009D0DA1" w:rsidRPr="00CB4EE1">
        <w:rPr>
          <w:rFonts w:asciiTheme="majorBidi" w:eastAsia="Batang" w:hAnsiTheme="majorBidi" w:cstheme="majorBidi"/>
          <w:sz w:val="28"/>
          <w:szCs w:val="28"/>
          <w:lang w:bidi="ar-MA"/>
        </w:rPr>
        <w:t>especter les dispositions réglementaires relatives aux délais de dépôt des rap</w:t>
      </w:r>
      <w:r w:rsidR="000E714C">
        <w:rPr>
          <w:rFonts w:asciiTheme="majorBidi" w:eastAsia="Batang" w:hAnsiTheme="majorBidi" w:cstheme="majorBidi"/>
          <w:sz w:val="28"/>
          <w:szCs w:val="28"/>
          <w:lang w:bidi="ar-MA"/>
        </w:rPr>
        <w:t>ports sectoriels de performance et</w:t>
      </w:r>
      <w:r w:rsidR="009D0DA1" w:rsidRPr="00CB4EE1">
        <w:rPr>
          <w:rFonts w:asciiTheme="majorBidi" w:eastAsia="Batang" w:hAnsiTheme="majorBidi" w:cstheme="majorBidi"/>
          <w:sz w:val="28"/>
          <w:szCs w:val="28"/>
          <w:lang w:bidi="ar-MA"/>
        </w:rPr>
        <w:t xml:space="preserve"> veiller sur la conformité intégrale entre ces rapports, d’une part, et les projets de performance, d’autre part; </w:t>
      </w:r>
    </w:p>
    <w:p w:rsidR="009D0DA1" w:rsidRPr="00CB4EE1" w:rsidRDefault="00DF139B" w:rsidP="00CB4EE1">
      <w:pPr>
        <w:pStyle w:val="Paragraphedeliste"/>
        <w:numPr>
          <w:ilvl w:val="0"/>
          <w:numId w:val="1"/>
        </w:numPr>
        <w:spacing w:before="120" w:after="120"/>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I</w:t>
      </w:r>
      <w:r w:rsidR="009D0DA1" w:rsidRPr="00CB4EE1">
        <w:rPr>
          <w:rFonts w:asciiTheme="majorBidi" w:eastAsia="Batang" w:hAnsiTheme="majorBidi" w:cstheme="majorBidi"/>
          <w:sz w:val="28"/>
          <w:szCs w:val="28"/>
          <w:lang w:bidi="ar-MA"/>
        </w:rPr>
        <w:t>ntégrer les résultats de l’ensemble des indicateurs, les commentaires et l’analyse des écarts entre les prévisions et les réalisations;</w:t>
      </w:r>
    </w:p>
    <w:p w:rsidR="00107BEF" w:rsidRPr="00DF139B" w:rsidRDefault="009D0DA1" w:rsidP="00DF139B">
      <w:pPr>
        <w:pStyle w:val="Paragraphedeliste"/>
        <w:numPr>
          <w:ilvl w:val="0"/>
          <w:numId w:val="1"/>
        </w:numPr>
        <w:spacing w:before="120" w:after="120"/>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 xml:space="preserve"> </w:t>
      </w:r>
      <w:r w:rsidR="00DF139B" w:rsidRPr="00CB4EE1">
        <w:rPr>
          <w:rFonts w:asciiTheme="majorBidi" w:eastAsia="Batang" w:hAnsiTheme="majorBidi" w:cstheme="majorBidi"/>
          <w:sz w:val="28"/>
          <w:szCs w:val="28"/>
          <w:lang w:bidi="ar-MA"/>
        </w:rPr>
        <w:t xml:space="preserve">Œuvrer </w:t>
      </w:r>
      <w:r w:rsidRPr="00CB4EE1">
        <w:rPr>
          <w:rFonts w:asciiTheme="majorBidi" w:eastAsia="Batang" w:hAnsiTheme="majorBidi" w:cstheme="majorBidi"/>
          <w:sz w:val="28"/>
          <w:szCs w:val="28"/>
          <w:lang w:bidi="ar-MA"/>
        </w:rPr>
        <w:t>à l’atteinte des valeurs cibles de tous les indicateurs, documenter et justifier les résultats obtenus</w:t>
      </w:r>
      <w:r w:rsidRPr="00CB4EE1">
        <w:rPr>
          <w:rFonts w:asciiTheme="majorBidi" w:eastAsia="Batang" w:hAnsiTheme="majorBidi" w:cstheme="majorBidi"/>
          <w:sz w:val="28"/>
          <w:szCs w:val="28"/>
          <w:rtl/>
          <w:lang w:bidi="ar-MA"/>
        </w:rPr>
        <w:t>.</w:t>
      </w:r>
    </w:p>
    <w:p w:rsidR="009D0DA1" w:rsidRPr="00CB4EE1" w:rsidRDefault="00107BEF" w:rsidP="00CB4EE1">
      <w:pPr>
        <w:pStyle w:val="Paragraphedeliste"/>
        <w:numPr>
          <w:ilvl w:val="0"/>
          <w:numId w:val="17"/>
        </w:numPr>
        <w:spacing w:before="240" w:after="120"/>
        <w:ind w:left="1083" w:hanging="374"/>
        <w:contextualSpacing w:val="0"/>
        <w:jc w:val="both"/>
        <w:rPr>
          <w:rFonts w:asciiTheme="majorBidi" w:eastAsia="Batang" w:hAnsiTheme="majorBidi" w:cstheme="majorBidi"/>
          <w:b/>
          <w:bCs/>
          <w:sz w:val="28"/>
          <w:szCs w:val="28"/>
          <w:lang w:bidi="ar-MA"/>
        </w:rPr>
      </w:pPr>
      <w:r w:rsidRPr="00CB4EE1">
        <w:rPr>
          <w:rFonts w:asciiTheme="majorBidi" w:eastAsia="Batang" w:hAnsiTheme="majorBidi" w:cstheme="majorBidi"/>
          <w:b/>
          <w:bCs/>
          <w:sz w:val="28"/>
          <w:szCs w:val="28"/>
          <w:lang w:bidi="ar-MA"/>
        </w:rPr>
        <w:t>H</w:t>
      </w:r>
      <w:r w:rsidR="009D0DA1" w:rsidRPr="00CB4EE1">
        <w:rPr>
          <w:rFonts w:asciiTheme="majorBidi" w:eastAsia="Batang" w:hAnsiTheme="majorBidi" w:cstheme="majorBidi"/>
          <w:b/>
          <w:bCs/>
          <w:sz w:val="28"/>
          <w:szCs w:val="28"/>
          <w:lang w:bidi="ar-MA"/>
        </w:rPr>
        <w:t>armonisation du dispositif de performance</w:t>
      </w:r>
      <w:r w:rsidR="009D0DA1" w:rsidRPr="00CB4EE1">
        <w:rPr>
          <w:rFonts w:asciiTheme="majorBidi" w:eastAsia="Batang" w:hAnsiTheme="majorBidi" w:cstheme="majorBidi"/>
          <w:b/>
          <w:bCs/>
          <w:sz w:val="28"/>
          <w:szCs w:val="28"/>
          <w:rtl/>
          <w:lang w:bidi="ar-MA"/>
        </w:rPr>
        <w:t xml:space="preserve"> </w:t>
      </w:r>
      <w:r w:rsidR="009D0DA1" w:rsidRPr="00CB4EE1">
        <w:rPr>
          <w:rFonts w:asciiTheme="majorBidi" w:eastAsia="Batang" w:hAnsiTheme="majorBidi" w:cstheme="majorBidi"/>
          <w:b/>
          <w:bCs/>
          <w:sz w:val="28"/>
          <w:szCs w:val="28"/>
          <w:lang w:bidi="ar-MA"/>
        </w:rPr>
        <w:t xml:space="preserve">des programmes supports </w:t>
      </w:r>
    </w:p>
    <w:p w:rsidR="00107BEF" w:rsidRPr="00CB4EE1" w:rsidRDefault="00107BEF" w:rsidP="00CB4EE1">
      <w:pPr>
        <w:spacing w:before="120" w:after="120"/>
        <w:ind w:firstLine="708"/>
        <w:jc w:val="both"/>
        <w:rPr>
          <w:rFonts w:asciiTheme="majorBidi" w:hAnsiTheme="majorBidi" w:cstheme="majorBidi"/>
          <w:sz w:val="28"/>
          <w:szCs w:val="28"/>
          <w:lang w:val="fr-MA" w:bidi="ar-MA"/>
        </w:rPr>
      </w:pPr>
      <w:r w:rsidRPr="00CB4EE1">
        <w:rPr>
          <w:rFonts w:asciiTheme="majorBidi" w:eastAsia="Batang" w:hAnsiTheme="majorBidi" w:cstheme="majorBidi"/>
          <w:sz w:val="28"/>
          <w:szCs w:val="28"/>
          <w:lang w:bidi="ar-MA"/>
        </w:rPr>
        <w:t>Les programmes support contribuent à l’appui de la mise en œuvre des politiques publiques. Généralement, ces programmes couvrent un éventail de fonctions communes à la plupart des départements ministériels et institutions</w:t>
      </w:r>
      <w:r w:rsidRPr="00CB4EE1">
        <w:rPr>
          <w:rFonts w:asciiTheme="majorBidi" w:hAnsiTheme="majorBidi" w:cstheme="majorBidi"/>
          <w:sz w:val="28"/>
          <w:szCs w:val="28"/>
          <w:rtl/>
          <w:lang w:val="fr-MA" w:bidi="ar-MA"/>
        </w:rPr>
        <w:t>.</w:t>
      </w:r>
    </w:p>
    <w:p w:rsidR="00107BEF" w:rsidRPr="00CB4EE1" w:rsidRDefault="00107BEF" w:rsidP="00E24808">
      <w:pPr>
        <w:spacing w:before="120" w:after="120"/>
        <w:ind w:firstLine="708"/>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 xml:space="preserve">Compte tenu de la nature de ces fonctions, les enjeux de performance des programmes supports se recoupent, d’une part, dans la maitrise des ressources, des moyens et des coûts ainsi </w:t>
      </w:r>
      <w:r w:rsidR="00DF139B" w:rsidRPr="00DF139B">
        <w:rPr>
          <w:rFonts w:asciiTheme="majorBidi" w:eastAsia="Batang" w:hAnsiTheme="majorBidi" w:cstheme="majorBidi"/>
          <w:sz w:val="28"/>
          <w:szCs w:val="28"/>
          <w:lang w:bidi="ar-MA"/>
        </w:rPr>
        <w:t xml:space="preserve">dans </w:t>
      </w:r>
      <w:r w:rsidRPr="00CB4EE1">
        <w:rPr>
          <w:rFonts w:asciiTheme="majorBidi" w:eastAsia="Batang" w:hAnsiTheme="majorBidi" w:cstheme="majorBidi"/>
          <w:sz w:val="28"/>
          <w:szCs w:val="28"/>
          <w:lang w:bidi="ar-MA"/>
        </w:rPr>
        <w:t xml:space="preserve">la qualité des services, de manière à contribuer dans la performance globale du départements ministériels </w:t>
      </w:r>
      <w:r w:rsidR="00E24808">
        <w:rPr>
          <w:rFonts w:asciiTheme="majorBidi" w:eastAsia="Batang" w:hAnsiTheme="majorBidi" w:cstheme="majorBidi"/>
          <w:sz w:val="28"/>
          <w:szCs w:val="28"/>
          <w:lang w:bidi="ar-MA"/>
        </w:rPr>
        <w:t>ou</w:t>
      </w:r>
      <w:r w:rsidRPr="00CB4EE1">
        <w:rPr>
          <w:rFonts w:asciiTheme="majorBidi" w:eastAsia="Batang" w:hAnsiTheme="majorBidi" w:cstheme="majorBidi"/>
          <w:sz w:val="28"/>
          <w:szCs w:val="28"/>
          <w:lang w:bidi="ar-MA"/>
        </w:rPr>
        <w:t xml:space="preserve"> institutions, et, d’autre part, dans l’ancrage de l’exemplarité de l’administration, en particulier les aspects liés à la </w:t>
      </w:r>
      <w:r w:rsidR="00782FAD" w:rsidRPr="00CB4EE1">
        <w:rPr>
          <w:rFonts w:asciiTheme="majorBidi" w:eastAsia="Batang" w:hAnsiTheme="majorBidi" w:cstheme="majorBidi"/>
          <w:sz w:val="28"/>
          <w:szCs w:val="28"/>
          <w:lang w:bidi="ar-MA"/>
        </w:rPr>
        <w:t xml:space="preserve">digitalisation, </w:t>
      </w:r>
      <w:r w:rsidRPr="00CB4EE1">
        <w:rPr>
          <w:rFonts w:asciiTheme="majorBidi" w:eastAsia="Batang" w:hAnsiTheme="majorBidi" w:cstheme="majorBidi"/>
          <w:sz w:val="28"/>
          <w:szCs w:val="28"/>
          <w:lang w:bidi="ar-MA"/>
        </w:rPr>
        <w:t xml:space="preserve">au développement durable, et au renforcement des </w:t>
      </w:r>
      <w:r w:rsidR="00782FAD" w:rsidRPr="00CB4EE1">
        <w:rPr>
          <w:rFonts w:asciiTheme="majorBidi" w:eastAsia="Batang" w:hAnsiTheme="majorBidi" w:cstheme="majorBidi"/>
          <w:sz w:val="28"/>
          <w:szCs w:val="28"/>
          <w:lang w:bidi="ar-MA"/>
        </w:rPr>
        <w:t>compétences</w:t>
      </w:r>
      <w:r w:rsidRPr="00CB4EE1">
        <w:rPr>
          <w:rFonts w:asciiTheme="majorBidi" w:eastAsia="Batang" w:hAnsiTheme="majorBidi" w:cstheme="majorBidi"/>
          <w:sz w:val="28"/>
          <w:szCs w:val="28"/>
          <w:lang w:bidi="ar-MA"/>
        </w:rPr>
        <w:t xml:space="preserve"> et des ressources des </w:t>
      </w:r>
      <w:r w:rsidR="00782FAD" w:rsidRPr="00CB4EE1">
        <w:rPr>
          <w:rFonts w:asciiTheme="majorBidi" w:eastAsia="Batang" w:hAnsiTheme="majorBidi" w:cstheme="majorBidi"/>
          <w:sz w:val="28"/>
          <w:szCs w:val="28"/>
          <w:lang w:bidi="ar-MA"/>
        </w:rPr>
        <w:t>administrations déconcentrées</w:t>
      </w:r>
      <w:r w:rsidRPr="00CB4EE1">
        <w:rPr>
          <w:rFonts w:asciiTheme="majorBidi" w:eastAsia="Batang" w:hAnsiTheme="majorBidi" w:cstheme="majorBidi"/>
          <w:sz w:val="28"/>
          <w:szCs w:val="28"/>
          <w:lang w:bidi="ar-MA"/>
        </w:rPr>
        <w:t>.</w:t>
      </w:r>
    </w:p>
    <w:p w:rsidR="00782FAD" w:rsidRPr="00CB4EE1" w:rsidRDefault="00DF139B" w:rsidP="00CB4EE1">
      <w:pPr>
        <w:spacing w:before="120" w:after="120"/>
        <w:ind w:firstLine="708"/>
        <w:jc w:val="both"/>
        <w:rPr>
          <w:rFonts w:asciiTheme="majorBidi" w:eastAsia="Batang" w:hAnsiTheme="majorBidi" w:cstheme="majorBidi"/>
          <w:sz w:val="28"/>
          <w:szCs w:val="28"/>
          <w:lang w:bidi="ar-MA"/>
        </w:rPr>
      </w:pPr>
      <w:r>
        <w:rPr>
          <w:rFonts w:asciiTheme="majorBidi" w:eastAsia="Batang" w:hAnsiTheme="majorBidi" w:cstheme="majorBidi"/>
          <w:sz w:val="28"/>
          <w:szCs w:val="28"/>
          <w:lang w:bidi="ar-MA"/>
        </w:rPr>
        <w:t>E</w:t>
      </w:r>
      <w:r w:rsidR="00782FAD" w:rsidRPr="00CB4EE1">
        <w:rPr>
          <w:rFonts w:asciiTheme="majorBidi" w:eastAsia="Batang" w:hAnsiTheme="majorBidi" w:cstheme="majorBidi"/>
          <w:sz w:val="28"/>
          <w:szCs w:val="28"/>
          <w:lang w:bidi="ar-MA"/>
        </w:rPr>
        <w:t xml:space="preserve">u égard de cette particularité, les départements ministériels et institutions doivent harmoniser </w:t>
      </w:r>
      <w:r w:rsidR="00782FAD" w:rsidRPr="00CB4EE1">
        <w:rPr>
          <w:rFonts w:asciiTheme="majorBidi" w:eastAsia="Batang" w:hAnsiTheme="majorBidi" w:cstheme="majorBidi"/>
          <w:sz w:val="28"/>
          <w:szCs w:val="28"/>
          <w:highlight w:val="yellow"/>
          <w:lang w:bidi="ar-MA"/>
        </w:rPr>
        <w:t>(unifier)</w:t>
      </w:r>
      <w:r w:rsidR="00782FAD" w:rsidRPr="00CB4EE1">
        <w:rPr>
          <w:rFonts w:asciiTheme="majorBidi" w:eastAsia="Batang" w:hAnsiTheme="majorBidi" w:cstheme="majorBidi"/>
          <w:sz w:val="28"/>
          <w:szCs w:val="28"/>
          <w:lang w:bidi="ar-MA"/>
        </w:rPr>
        <w:t xml:space="preserve"> et normaliser le dispositif de performance des programmes support via l’adoption  d’objectifs et indicateurs de performance communs aux départements ministériels et institutions.</w:t>
      </w:r>
    </w:p>
    <w:p w:rsidR="00782FAD" w:rsidRPr="00CB4EE1" w:rsidRDefault="00782FAD" w:rsidP="00736004">
      <w:pPr>
        <w:spacing w:before="120" w:after="120"/>
        <w:ind w:firstLine="708"/>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 xml:space="preserve">A ce titre, </w:t>
      </w:r>
      <w:r w:rsidR="00BD07C6" w:rsidRPr="00CB4EE1">
        <w:rPr>
          <w:rFonts w:asciiTheme="majorBidi" w:eastAsia="Batang" w:hAnsiTheme="majorBidi" w:cstheme="majorBidi"/>
          <w:sz w:val="28"/>
          <w:szCs w:val="28"/>
          <w:lang w:bidi="ar-MA"/>
        </w:rPr>
        <w:t xml:space="preserve">et </w:t>
      </w:r>
      <w:r w:rsidRPr="00CB4EE1">
        <w:rPr>
          <w:rFonts w:asciiTheme="majorBidi" w:eastAsia="Batang" w:hAnsiTheme="majorBidi" w:cstheme="majorBidi"/>
          <w:sz w:val="28"/>
          <w:szCs w:val="28"/>
          <w:lang w:bidi="ar-MA"/>
        </w:rPr>
        <w:t>à la lumière de l’évaluation d’étape du dispositif de performance des programmes support, des objectifs et indicateurs communs aux départements ministériels et institutions (vous trouverez</w:t>
      </w:r>
      <w:r w:rsidR="00736004">
        <w:rPr>
          <w:rFonts w:asciiTheme="majorBidi" w:eastAsia="Batang" w:hAnsiTheme="majorBidi" w:cstheme="majorBidi"/>
          <w:sz w:val="28"/>
          <w:szCs w:val="28"/>
          <w:lang w:bidi="ar-MA"/>
        </w:rPr>
        <w:t xml:space="preserve"> ci-joint </w:t>
      </w:r>
      <w:r w:rsidR="00BD07C6" w:rsidRPr="00CB4EE1">
        <w:rPr>
          <w:rFonts w:asciiTheme="majorBidi" w:eastAsia="Batang" w:hAnsiTheme="majorBidi" w:cstheme="majorBidi"/>
          <w:sz w:val="28"/>
          <w:szCs w:val="28"/>
          <w:lang w:bidi="ar-MA"/>
        </w:rPr>
        <w:t>leur</w:t>
      </w:r>
      <w:r w:rsidRPr="00CB4EE1">
        <w:rPr>
          <w:rFonts w:asciiTheme="majorBidi" w:eastAsia="Batang" w:hAnsiTheme="majorBidi" w:cstheme="majorBidi"/>
          <w:sz w:val="28"/>
          <w:szCs w:val="28"/>
          <w:lang w:bidi="ar-MA"/>
        </w:rPr>
        <w:t xml:space="preserve"> matrice-annexe 1)</w:t>
      </w:r>
      <w:r w:rsidR="00BD07C6" w:rsidRPr="00CB4EE1">
        <w:rPr>
          <w:rFonts w:asciiTheme="majorBidi" w:eastAsia="Batang" w:hAnsiTheme="majorBidi" w:cstheme="majorBidi"/>
          <w:sz w:val="28"/>
          <w:szCs w:val="28"/>
          <w:lang w:bidi="ar-MA"/>
        </w:rPr>
        <w:t xml:space="preserve"> ont été identifiés</w:t>
      </w:r>
      <w:r w:rsidRPr="00CB4EE1">
        <w:rPr>
          <w:rFonts w:asciiTheme="majorBidi" w:eastAsia="Batang" w:hAnsiTheme="majorBidi" w:cstheme="majorBidi"/>
          <w:sz w:val="28"/>
          <w:szCs w:val="28"/>
          <w:lang w:bidi="ar-MA"/>
        </w:rPr>
        <w:t xml:space="preserve">, </w:t>
      </w:r>
      <w:r w:rsidR="00BD07C6" w:rsidRPr="00CB4EE1">
        <w:rPr>
          <w:rFonts w:asciiTheme="majorBidi" w:eastAsia="Batang" w:hAnsiTheme="majorBidi" w:cstheme="majorBidi"/>
          <w:sz w:val="28"/>
          <w:szCs w:val="28"/>
          <w:lang w:bidi="ar-MA"/>
        </w:rPr>
        <w:t xml:space="preserve">et dont les significations et appellations ont été améliorées et harmonisées </w:t>
      </w:r>
      <w:r w:rsidR="00BD07C6" w:rsidRPr="00CB4EE1">
        <w:rPr>
          <w:rFonts w:asciiTheme="majorBidi" w:eastAsia="Batang" w:hAnsiTheme="majorBidi" w:cstheme="majorBidi"/>
          <w:sz w:val="28"/>
          <w:szCs w:val="28"/>
          <w:highlight w:val="yellow"/>
          <w:lang w:bidi="ar-MA"/>
        </w:rPr>
        <w:t>(unifiées)</w:t>
      </w:r>
      <w:r w:rsidR="00BD07C6" w:rsidRPr="00CB4EE1">
        <w:rPr>
          <w:rFonts w:asciiTheme="majorBidi" w:eastAsia="Batang" w:hAnsiTheme="majorBidi" w:cstheme="majorBidi"/>
          <w:sz w:val="28"/>
          <w:szCs w:val="28"/>
          <w:lang w:bidi="ar-MA"/>
        </w:rPr>
        <w:t>. De même, l</w:t>
      </w:r>
      <w:r w:rsidRPr="00CB4EE1">
        <w:rPr>
          <w:rFonts w:asciiTheme="majorBidi" w:eastAsia="Batang" w:hAnsiTheme="majorBidi" w:cstheme="majorBidi"/>
          <w:sz w:val="28"/>
          <w:szCs w:val="28"/>
          <w:lang w:bidi="ar-MA"/>
        </w:rPr>
        <w:t xml:space="preserve">a méthode de calcul ainsi que les clarifications méthodologiques </w:t>
      </w:r>
      <w:r w:rsidR="00BD07C6" w:rsidRPr="00CB4EE1">
        <w:rPr>
          <w:rFonts w:asciiTheme="majorBidi" w:eastAsia="Batang" w:hAnsiTheme="majorBidi" w:cstheme="majorBidi"/>
          <w:sz w:val="28"/>
          <w:szCs w:val="28"/>
          <w:lang w:bidi="ar-MA"/>
        </w:rPr>
        <w:t>desdits</w:t>
      </w:r>
      <w:r w:rsidRPr="00CB4EE1">
        <w:rPr>
          <w:rFonts w:asciiTheme="majorBidi" w:eastAsia="Batang" w:hAnsiTheme="majorBidi" w:cstheme="majorBidi"/>
          <w:sz w:val="28"/>
          <w:szCs w:val="28"/>
          <w:lang w:bidi="ar-MA"/>
        </w:rPr>
        <w:t xml:space="preserve"> indicateurs ont été normalisées.</w:t>
      </w:r>
    </w:p>
    <w:p w:rsidR="00BD07C6" w:rsidRPr="00CB4EE1" w:rsidRDefault="00BD07C6" w:rsidP="00CB4EE1">
      <w:pPr>
        <w:pStyle w:val="Paragraphedeliste"/>
        <w:numPr>
          <w:ilvl w:val="0"/>
          <w:numId w:val="17"/>
        </w:numPr>
        <w:spacing w:before="240" w:after="120"/>
        <w:ind w:left="1083" w:hanging="374"/>
        <w:contextualSpacing w:val="0"/>
        <w:jc w:val="both"/>
        <w:rPr>
          <w:rFonts w:asciiTheme="majorBidi" w:eastAsia="Batang" w:hAnsiTheme="majorBidi" w:cstheme="majorBidi"/>
          <w:b/>
          <w:bCs/>
          <w:sz w:val="28"/>
          <w:szCs w:val="28"/>
          <w:lang w:bidi="ar-MA"/>
        </w:rPr>
      </w:pPr>
      <w:r w:rsidRPr="00CB4EE1">
        <w:rPr>
          <w:rFonts w:asciiTheme="majorBidi" w:eastAsia="Batang" w:hAnsiTheme="majorBidi" w:cstheme="majorBidi"/>
          <w:b/>
          <w:bCs/>
          <w:sz w:val="28"/>
          <w:szCs w:val="28"/>
          <w:lang w:bidi="ar-MA"/>
        </w:rPr>
        <w:t>Adoption des outils de gestion axée sur la performance</w:t>
      </w:r>
    </w:p>
    <w:p w:rsidR="00BD07C6" w:rsidRPr="00CB4EE1" w:rsidRDefault="00BD07C6" w:rsidP="00CB4EE1">
      <w:pPr>
        <w:pStyle w:val="Paragraphedeliste"/>
        <w:numPr>
          <w:ilvl w:val="0"/>
          <w:numId w:val="19"/>
        </w:numPr>
        <w:spacing w:before="240" w:after="120"/>
        <w:jc w:val="both"/>
        <w:rPr>
          <w:rFonts w:asciiTheme="majorBidi" w:eastAsia="Batang" w:hAnsiTheme="majorBidi" w:cstheme="majorBidi"/>
          <w:b/>
          <w:bCs/>
          <w:sz w:val="28"/>
          <w:szCs w:val="28"/>
          <w:lang w:bidi="ar-MA"/>
        </w:rPr>
      </w:pPr>
      <w:r w:rsidRPr="00CB4EE1">
        <w:rPr>
          <w:rFonts w:asciiTheme="majorBidi" w:eastAsia="Batang" w:hAnsiTheme="majorBidi" w:cstheme="majorBidi"/>
          <w:b/>
          <w:bCs/>
          <w:sz w:val="28"/>
          <w:szCs w:val="28"/>
          <w:lang w:bidi="ar-MA"/>
        </w:rPr>
        <w:t>Charte de gestion</w:t>
      </w:r>
    </w:p>
    <w:p w:rsidR="00BD07C6" w:rsidRPr="00CB4EE1" w:rsidRDefault="00BD07C6" w:rsidP="00E24808">
      <w:pPr>
        <w:spacing w:before="240" w:after="120"/>
        <w:ind w:firstLine="709"/>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 xml:space="preserve">Les départements </w:t>
      </w:r>
      <w:r w:rsidR="00351D4D" w:rsidRPr="00CB4EE1">
        <w:rPr>
          <w:rFonts w:asciiTheme="majorBidi" w:eastAsia="Batang" w:hAnsiTheme="majorBidi" w:cstheme="majorBidi"/>
          <w:sz w:val="28"/>
          <w:szCs w:val="28"/>
          <w:lang w:bidi="ar-MA"/>
        </w:rPr>
        <w:t>ministériels</w:t>
      </w:r>
      <w:r w:rsidRPr="00CB4EE1">
        <w:rPr>
          <w:rFonts w:asciiTheme="majorBidi" w:eastAsia="Batang" w:hAnsiTheme="majorBidi" w:cstheme="majorBidi"/>
          <w:sz w:val="28"/>
          <w:szCs w:val="28"/>
          <w:lang w:bidi="ar-MA"/>
        </w:rPr>
        <w:t xml:space="preserve"> et institutions doivent se doter </w:t>
      </w:r>
      <w:r w:rsidR="00351D4D" w:rsidRPr="00CB4EE1">
        <w:rPr>
          <w:rFonts w:asciiTheme="majorBidi" w:eastAsia="Batang" w:hAnsiTheme="majorBidi" w:cstheme="majorBidi"/>
          <w:sz w:val="28"/>
          <w:szCs w:val="28"/>
          <w:lang w:bidi="ar-MA"/>
        </w:rPr>
        <w:t xml:space="preserve">de la charte de gestion prévue par </w:t>
      </w:r>
      <w:r w:rsidRPr="00CB4EE1">
        <w:rPr>
          <w:rFonts w:asciiTheme="majorBidi" w:eastAsia="Batang" w:hAnsiTheme="majorBidi" w:cstheme="majorBidi"/>
          <w:sz w:val="28"/>
          <w:szCs w:val="28"/>
          <w:lang w:bidi="ar-MA"/>
        </w:rPr>
        <w:t xml:space="preserve">la Circulaire n°9/2021 </w:t>
      </w:r>
      <w:r w:rsidR="00351D4D" w:rsidRPr="00CB4EE1">
        <w:rPr>
          <w:rFonts w:asciiTheme="majorBidi" w:eastAsia="Batang" w:hAnsiTheme="majorBidi" w:cstheme="majorBidi"/>
          <w:sz w:val="28"/>
          <w:szCs w:val="28"/>
          <w:lang w:bidi="ar-MA"/>
        </w:rPr>
        <w:t xml:space="preserve">précitée, </w:t>
      </w:r>
      <w:r w:rsidRPr="00CB4EE1">
        <w:rPr>
          <w:rFonts w:asciiTheme="majorBidi" w:eastAsia="Batang" w:hAnsiTheme="majorBidi" w:cstheme="majorBidi"/>
          <w:sz w:val="28"/>
          <w:szCs w:val="28"/>
          <w:lang w:bidi="ar-MA"/>
        </w:rPr>
        <w:t>relative au rôle et attributions du responsable de programme (RPROG)</w:t>
      </w:r>
      <w:r w:rsidR="00351D4D" w:rsidRPr="00CB4EE1">
        <w:rPr>
          <w:rFonts w:asciiTheme="majorBidi" w:eastAsia="Batang" w:hAnsiTheme="majorBidi" w:cstheme="majorBidi"/>
          <w:sz w:val="28"/>
          <w:szCs w:val="28"/>
          <w:lang w:bidi="ar-MA"/>
        </w:rPr>
        <w:t xml:space="preserve">, qui précise le champ et les finalité de la  charte de gestion, et assigne son élaboration, actualisation et mise en œuvre au </w:t>
      </w:r>
      <w:r w:rsidR="00287B0A">
        <w:rPr>
          <w:rFonts w:asciiTheme="majorBidi" w:eastAsia="Batang" w:hAnsiTheme="majorBidi" w:cstheme="majorBidi"/>
          <w:sz w:val="28"/>
          <w:szCs w:val="28"/>
          <w:lang w:bidi="ar-MA"/>
        </w:rPr>
        <w:t>Responsable des affaires financières</w:t>
      </w:r>
      <w:r w:rsidR="00287B0A">
        <w:rPr>
          <w:rFonts w:asciiTheme="majorBidi" w:eastAsia="Batang" w:hAnsiTheme="majorBidi" w:cstheme="majorBidi"/>
          <w:sz w:val="28"/>
          <w:szCs w:val="28"/>
          <w:lang w:val="fr-MA" w:bidi="ar-MA"/>
        </w:rPr>
        <w:t xml:space="preserve"> sous couvert</w:t>
      </w:r>
      <w:r w:rsidR="00287B0A">
        <w:rPr>
          <w:rFonts w:asciiTheme="majorBidi" w:eastAsia="Batang" w:hAnsiTheme="majorBidi" w:cstheme="majorBidi"/>
          <w:sz w:val="28"/>
          <w:szCs w:val="28"/>
          <w:lang w:bidi="ar-MA"/>
        </w:rPr>
        <w:t xml:space="preserve"> du </w:t>
      </w:r>
      <w:r w:rsidR="00351D4D" w:rsidRPr="00CB4EE1">
        <w:rPr>
          <w:rFonts w:asciiTheme="majorBidi" w:eastAsia="Batang" w:hAnsiTheme="majorBidi" w:cstheme="majorBidi"/>
          <w:sz w:val="28"/>
          <w:szCs w:val="28"/>
          <w:lang w:bidi="ar-MA"/>
        </w:rPr>
        <w:t xml:space="preserve">Secrétaire Générale du département ministériel ou </w:t>
      </w:r>
      <w:r w:rsidR="00E24808">
        <w:rPr>
          <w:rFonts w:asciiTheme="majorBidi" w:eastAsia="Batang" w:hAnsiTheme="majorBidi" w:cstheme="majorBidi"/>
          <w:sz w:val="28"/>
          <w:szCs w:val="28"/>
          <w:lang w:bidi="ar-MA"/>
        </w:rPr>
        <w:t xml:space="preserve">de </w:t>
      </w:r>
      <w:r w:rsidR="00351D4D" w:rsidRPr="00CB4EE1">
        <w:rPr>
          <w:rFonts w:asciiTheme="majorBidi" w:eastAsia="Batang" w:hAnsiTheme="majorBidi" w:cstheme="majorBidi"/>
          <w:sz w:val="28"/>
          <w:szCs w:val="28"/>
          <w:lang w:bidi="ar-MA"/>
        </w:rPr>
        <w:t>l’institution concerné.</w:t>
      </w:r>
    </w:p>
    <w:p w:rsidR="00351D4D" w:rsidRPr="00CB4EE1" w:rsidRDefault="006E213E" w:rsidP="00CB4EE1">
      <w:pPr>
        <w:spacing w:before="120" w:after="120"/>
        <w:ind w:firstLine="708"/>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La</w:t>
      </w:r>
      <w:r w:rsidR="00351D4D" w:rsidRPr="00CB4EE1">
        <w:rPr>
          <w:rFonts w:asciiTheme="majorBidi" w:eastAsia="Batang" w:hAnsiTheme="majorBidi" w:cstheme="majorBidi"/>
          <w:sz w:val="28"/>
          <w:szCs w:val="28"/>
          <w:lang w:bidi="ar-MA"/>
        </w:rPr>
        <w:t xml:space="preserve"> charte de gestion vise en particulier à définir les rôles et les responsabilités des différents acteurs concourant à la mise en œuvre des programmes budgétaires, notamment le responsable des affaires financières qui occupe une place nodale dans l’accompagnement et l’assistance continus du/des responsable(s) de programme(s) tout au long des différentes phases de préparation, d’exécution et de règlement du budget. </w:t>
      </w:r>
      <w:r w:rsidRPr="00CB4EE1">
        <w:rPr>
          <w:rFonts w:asciiTheme="majorBidi" w:eastAsia="Batang" w:hAnsiTheme="majorBidi" w:cstheme="majorBidi"/>
          <w:sz w:val="28"/>
          <w:szCs w:val="28"/>
          <w:lang w:bidi="ar-MA"/>
        </w:rPr>
        <w:t xml:space="preserve">Également, </w:t>
      </w:r>
      <w:r w:rsidR="00351D4D" w:rsidRPr="00CB4EE1">
        <w:rPr>
          <w:rFonts w:asciiTheme="majorBidi" w:eastAsia="Batang" w:hAnsiTheme="majorBidi" w:cstheme="majorBidi"/>
          <w:sz w:val="28"/>
          <w:szCs w:val="28"/>
          <w:lang w:bidi="ar-MA"/>
        </w:rPr>
        <w:t>La c</w:t>
      </w:r>
      <w:r w:rsidRPr="00CB4EE1">
        <w:rPr>
          <w:rFonts w:asciiTheme="majorBidi" w:eastAsia="Batang" w:hAnsiTheme="majorBidi" w:cstheme="majorBidi"/>
          <w:sz w:val="28"/>
          <w:szCs w:val="28"/>
          <w:lang w:bidi="ar-MA"/>
        </w:rPr>
        <w:t>h</w:t>
      </w:r>
      <w:r w:rsidR="00351D4D" w:rsidRPr="00CB4EE1">
        <w:rPr>
          <w:rFonts w:asciiTheme="majorBidi" w:eastAsia="Batang" w:hAnsiTheme="majorBidi" w:cstheme="majorBidi"/>
          <w:sz w:val="28"/>
          <w:szCs w:val="28"/>
          <w:lang w:bidi="ar-MA"/>
        </w:rPr>
        <w:t xml:space="preserve">arte de gestion définit </w:t>
      </w:r>
      <w:r w:rsidRPr="00CB4EE1">
        <w:rPr>
          <w:rFonts w:asciiTheme="majorBidi" w:eastAsia="Batang" w:hAnsiTheme="majorBidi" w:cstheme="majorBidi"/>
          <w:sz w:val="28"/>
          <w:szCs w:val="28"/>
          <w:lang w:bidi="ar-MA"/>
        </w:rPr>
        <w:t>les règles relatives au déploiement de la démarche de performance au niveau du département ministériel ou l’institution (vous trouverez ci-joint le modèle de charte de gestion-annexe 1)</w:t>
      </w:r>
      <w:r w:rsidR="00351D4D" w:rsidRPr="00CB4EE1">
        <w:rPr>
          <w:rFonts w:asciiTheme="majorBidi" w:eastAsia="Batang" w:hAnsiTheme="majorBidi" w:cstheme="majorBidi"/>
          <w:sz w:val="28"/>
          <w:szCs w:val="28"/>
          <w:lang w:bidi="ar-MA"/>
        </w:rPr>
        <w:t>.</w:t>
      </w:r>
    </w:p>
    <w:p w:rsidR="00DA4D4A" w:rsidRPr="00CB4EE1" w:rsidRDefault="00DA4D4A" w:rsidP="00CB4EE1">
      <w:pPr>
        <w:spacing w:before="120" w:after="120"/>
        <w:ind w:firstLine="708"/>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 xml:space="preserve">A cette occasion, je </w:t>
      </w:r>
      <w:r w:rsidR="005572DA" w:rsidRPr="00CB4EE1">
        <w:rPr>
          <w:rFonts w:asciiTheme="majorBidi" w:eastAsia="Batang" w:hAnsiTheme="majorBidi" w:cstheme="majorBidi"/>
          <w:sz w:val="28"/>
          <w:szCs w:val="28"/>
          <w:lang w:bidi="ar-MA"/>
        </w:rPr>
        <w:t>réitère</w:t>
      </w:r>
      <w:r w:rsidRPr="00CB4EE1">
        <w:rPr>
          <w:rFonts w:asciiTheme="majorBidi" w:eastAsia="Batang" w:hAnsiTheme="majorBidi" w:cstheme="majorBidi"/>
          <w:sz w:val="28"/>
          <w:szCs w:val="28"/>
          <w:lang w:bidi="ar-MA"/>
        </w:rPr>
        <w:t xml:space="preserve"> l’impératif d’opérationnaliser les comité</w:t>
      </w:r>
      <w:r w:rsidR="005572DA" w:rsidRPr="00CB4EE1">
        <w:rPr>
          <w:rFonts w:asciiTheme="majorBidi" w:eastAsia="Batang" w:hAnsiTheme="majorBidi" w:cstheme="majorBidi"/>
          <w:sz w:val="28"/>
          <w:szCs w:val="28"/>
          <w:lang w:bidi="ar-MA"/>
        </w:rPr>
        <w:t>s</w:t>
      </w:r>
      <w:r w:rsidRPr="00CB4EE1">
        <w:rPr>
          <w:rFonts w:asciiTheme="majorBidi" w:eastAsia="Batang" w:hAnsiTheme="majorBidi" w:cstheme="majorBidi"/>
          <w:sz w:val="28"/>
          <w:szCs w:val="28"/>
          <w:lang w:bidi="ar-MA"/>
        </w:rPr>
        <w:t xml:space="preserve"> de pilotage de la réforme </w:t>
      </w:r>
      <w:r w:rsidR="005572DA" w:rsidRPr="00CB4EE1">
        <w:rPr>
          <w:rFonts w:asciiTheme="majorBidi" w:eastAsia="Batang" w:hAnsiTheme="majorBidi" w:cstheme="majorBidi"/>
          <w:sz w:val="28"/>
          <w:szCs w:val="28"/>
          <w:lang w:bidi="ar-MA"/>
        </w:rPr>
        <w:t xml:space="preserve">budgétaire coiffés par les Secrétaires Généraux, et ce, </w:t>
      </w:r>
      <w:r w:rsidRPr="00CB4EE1">
        <w:rPr>
          <w:rFonts w:asciiTheme="majorBidi" w:eastAsia="Batang" w:hAnsiTheme="majorBidi" w:cstheme="majorBidi"/>
          <w:sz w:val="28"/>
          <w:szCs w:val="28"/>
          <w:lang w:bidi="ar-MA"/>
        </w:rPr>
        <w:t xml:space="preserve">au niveau de tous </w:t>
      </w:r>
      <w:r w:rsidR="005572DA" w:rsidRPr="00CB4EE1">
        <w:rPr>
          <w:rFonts w:asciiTheme="majorBidi" w:eastAsia="Batang" w:hAnsiTheme="majorBidi" w:cstheme="majorBidi"/>
          <w:sz w:val="28"/>
          <w:szCs w:val="28"/>
          <w:lang w:bidi="ar-MA"/>
        </w:rPr>
        <w:t>départements ministériels et institutions</w:t>
      </w:r>
      <w:r w:rsidRPr="00CB4EE1">
        <w:rPr>
          <w:rFonts w:asciiTheme="majorBidi" w:eastAsia="Batang" w:hAnsiTheme="majorBidi" w:cstheme="majorBidi"/>
          <w:sz w:val="28"/>
          <w:szCs w:val="28"/>
          <w:lang w:bidi="ar-MA"/>
        </w:rPr>
        <w:t>.</w:t>
      </w:r>
    </w:p>
    <w:p w:rsidR="005572DA" w:rsidRPr="00CB4EE1" w:rsidRDefault="005572DA" w:rsidP="00CB4EE1">
      <w:pPr>
        <w:pStyle w:val="Paragraphedeliste"/>
        <w:numPr>
          <w:ilvl w:val="0"/>
          <w:numId w:val="19"/>
        </w:numPr>
        <w:spacing w:before="240" w:after="120"/>
        <w:jc w:val="both"/>
        <w:rPr>
          <w:rFonts w:asciiTheme="majorBidi" w:eastAsia="Batang" w:hAnsiTheme="majorBidi" w:cstheme="majorBidi"/>
          <w:b/>
          <w:bCs/>
          <w:sz w:val="28"/>
          <w:szCs w:val="28"/>
          <w:lang w:bidi="ar-MA"/>
        </w:rPr>
      </w:pPr>
      <w:r w:rsidRPr="00CB4EE1">
        <w:rPr>
          <w:rFonts w:asciiTheme="majorBidi" w:eastAsia="Batang" w:hAnsiTheme="majorBidi" w:cstheme="majorBidi"/>
          <w:b/>
          <w:bCs/>
          <w:sz w:val="28"/>
          <w:szCs w:val="28"/>
          <w:lang w:bidi="ar-MA"/>
        </w:rPr>
        <w:t>Système d’information</w:t>
      </w:r>
    </w:p>
    <w:p w:rsidR="005572DA" w:rsidRPr="00CB4EE1" w:rsidRDefault="005572DA" w:rsidP="00CB4EE1">
      <w:pPr>
        <w:spacing w:before="120" w:after="120"/>
        <w:ind w:firstLine="708"/>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La gestion axée sur les résultats requiert que les indicateurs de performance émanent de systèmes d’information dédiés, vu les atouts de ces derniers permettant:</w:t>
      </w:r>
    </w:p>
    <w:p w:rsidR="005572DA" w:rsidRPr="00CB4EE1" w:rsidRDefault="00E24808" w:rsidP="00CB4EE1">
      <w:pPr>
        <w:pStyle w:val="Paragraphedeliste"/>
        <w:numPr>
          <w:ilvl w:val="0"/>
          <w:numId w:val="1"/>
        </w:numPr>
        <w:spacing w:before="120" w:after="120"/>
        <w:jc w:val="both"/>
        <w:rPr>
          <w:rFonts w:asciiTheme="majorBidi" w:eastAsia="Batang" w:hAnsiTheme="majorBidi" w:cstheme="majorBidi"/>
          <w:sz w:val="28"/>
          <w:szCs w:val="28"/>
          <w:lang w:bidi="ar-MA"/>
        </w:rPr>
      </w:pPr>
      <w:r>
        <w:rPr>
          <w:rFonts w:asciiTheme="majorBidi" w:eastAsia="Batang" w:hAnsiTheme="majorBidi" w:cstheme="majorBidi"/>
          <w:sz w:val="28"/>
          <w:szCs w:val="28"/>
          <w:lang w:bidi="ar-MA"/>
        </w:rPr>
        <w:t>D’</w:t>
      </w:r>
      <w:r w:rsidRPr="00CB4EE1">
        <w:rPr>
          <w:rFonts w:asciiTheme="majorBidi" w:eastAsia="Batang" w:hAnsiTheme="majorBidi" w:cstheme="majorBidi"/>
          <w:sz w:val="28"/>
          <w:szCs w:val="28"/>
          <w:lang w:bidi="ar-MA"/>
        </w:rPr>
        <w:t>assurer</w:t>
      </w:r>
      <w:r w:rsidR="005572DA" w:rsidRPr="00CB4EE1">
        <w:rPr>
          <w:rFonts w:asciiTheme="majorBidi" w:eastAsia="Batang" w:hAnsiTheme="majorBidi" w:cstheme="majorBidi"/>
          <w:sz w:val="28"/>
          <w:szCs w:val="28"/>
          <w:lang w:bidi="ar-MA"/>
        </w:rPr>
        <w:t xml:space="preserve"> la fiabilité des indicateurs via leur extraction des systèmes d’information afin d’éviter les erreurs pouvant entacher le dépouillement, la documentation et calcul manuels des indicateurs;</w:t>
      </w:r>
    </w:p>
    <w:p w:rsidR="005572DA" w:rsidRPr="00CB4EE1" w:rsidRDefault="00E24808" w:rsidP="00CB4EE1">
      <w:pPr>
        <w:pStyle w:val="Paragraphedeliste"/>
        <w:numPr>
          <w:ilvl w:val="0"/>
          <w:numId w:val="1"/>
        </w:numPr>
        <w:spacing w:before="120" w:after="120"/>
        <w:jc w:val="both"/>
        <w:rPr>
          <w:rFonts w:asciiTheme="majorBidi" w:eastAsia="Batang" w:hAnsiTheme="majorBidi" w:cstheme="majorBidi"/>
          <w:sz w:val="28"/>
          <w:szCs w:val="28"/>
          <w:lang w:bidi="ar-MA"/>
        </w:rPr>
      </w:pPr>
      <w:r>
        <w:rPr>
          <w:rFonts w:asciiTheme="majorBidi" w:eastAsia="Batang" w:hAnsiTheme="majorBidi" w:cstheme="majorBidi"/>
          <w:sz w:val="28"/>
          <w:szCs w:val="28"/>
          <w:lang w:bidi="ar-MA"/>
        </w:rPr>
        <w:t xml:space="preserve">De </w:t>
      </w:r>
      <w:r w:rsidR="005572DA" w:rsidRPr="00CB4EE1">
        <w:rPr>
          <w:rFonts w:asciiTheme="majorBidi" w:eastAsia="Batang" w:hAnsiTheme="majorBidi" w:cstheme="majorBidi"/>
          <w:sz w:val="28"/>
          <w:szCs w:val="28"/>
          <w:lang w:bidi="ar-MA"/>
        </w:rPr>
        <w:t>réduire le coût de production des indicateurs ;</w:t>
      </w:r>
    </w:p>
    <w:p w:rsidR="005572DA" w:rsidRPr="00CB4EE1" w:rsidRDefault="00E24808" w:rsidP="00CB4EE1">
      <w:pPr>
        <w:pStyle w:val="Paragraphedeliste"/>
        <w:numPr>
          <w:ilvl w:val="0"/>
          <w:numId w:val="1"/>
        </w:numPr>
        <w:spacing w:before="120" w:after="120"/>
        <w:jc w:val="both"/>
        <w:rPr>
          <w:rFonts w:asciiTheme="majorBidi" w:eastAsia="Batang" w:hAnsiTheme="majorBidi" w:cstheme="majorBidi"/>
          <w:sz w:val="28"/>
          <w:szCs w:val="28"/>
          <w:lang w:bidi="ar-MA"/>
        </w:rPr>
      </w:pPr>
      <w:r>
        <w:rPr>
          <w:rFonts w:asciiTheme="majorBidi" w:eastAsia="Batang" w:hAnsiTheme="majorBidi" w:cstheme="majorBidi"/>
          <w:sz w:val="28"/>
          <w:szCs w:val="28"/>
          <w:lang w:bidi="ar-MA"/>
        </w:rPr>
        <w:t>De f</w:t>
      </w:r>
      <w:r w:rsidR="005572DA" w:rsidRPr="00CB4EE1">
        <w:rPr>
          <w:rFonts w:asciiTheme="majorBidi" w:eastAsia="Batang" w:hAnsiTheme="majorBidi" w:cstheme="majorBidi"/>
          <w:sz w:val="28"/>
          <w:szCs w:val="28"/>
          <w:lang w:bidi="ar-MA"/>
        </w:rPr>
        <w:t xml:space="preserve">ournir et </w:t>
      </w:r>
      <w:r>
        <w:rPr>
          <w:rFonts w:asciiTheme="majorBidi" w:eastAsia="Batang" w:hAnsiTheme="majorBidi" w:cstheme="majorBidi"/>
          <w:sz w:val="28"/>
          <w:szCs w:val="28"/>
          <w:lang w:bidi="ar-MA"/>
        </w:rPr>
        <w:t xml:space="preserve">de </w:t>
      </w:r>
      <w:r w:rsidR="005572DA" w:rsidRPr="00CB4EE1">
        <w:rPr>
          <w:rFonts w:asciiTheme="majorBidi" w:eastAsia="Batang" w:hAnsiTheme="majorBidi" w:cstheme="majorBidi"/>
          <w:sz w:val="28"/>
          <w:szCs w:val="28"/>
          <w:lang w:bidi="ar-MA"/>
        </w:rPr>
        <w:t xml:space="preserve">partager des informations </w:t>
      </w:r>
      <w:r w:rsidR="0014487A" w:rsidRPr="00CB4EE1">
        <w:rPr>
          <w:rFonts w:asciiTheme="majorBidi" w:eastAsia="Batang" w:hAnsiTheme="majorBidi" w:cstheme="majorBidi"/>
          <w:sz w:val="28"/>
          <w:szCs w:val="28"/>
          <w:lang w:bidi="ar-MA"/>
        </w:rPr>
        <w:t>uniques</w:t>
      </w:r>
      <w:r w:rsidR="005572DA" w:rsidRPr="00CB4EE1">
        <w:rPr>
          <w:rFonts w:asciiTheme="majorBidi" w:eastAsia="Batang" w:hAnsiTheme="majorBidi" w:cstheme="majorBidi"/>
          <w:sz w:val="28"/>
          <w:szCs w:val="28"/>
          <w:lang w:bidi="ar-MA"/>
        </w:rPr>
        <w:t xml:space="preserve"> et </w:t>
      </w:r>
      <w:r w:rsidR="0014487A" w:rsidRPr="00CB4EE1">
        <w:rPr>
          <w:rFonts w:asciiTheme="majorBidi" w:eastAsia="Batang" w:hAnsiTheme="majorBidi" w:cstheme="majorBidi"/>
          <w:sz w:val="28"/>
          <w:szCs w:val="28"/>
          <w:lang w:bidi="ar-MA"/>
        </w:rPr>
        <w:t>communes</w:t>
      </w:r>
      <w:r w:rsidR="005572DA" w:rsidRPr="00CB4EE1">
        <w:rPr>
          <w:rFonts w:asciiTheme="majorBidi" w:eastAsia="Batang" w:hAnsiTheme="majorBidi" w:cstheme="majorBidi"/>
          <w:sz w:val="28"/>
          <w:szCs w:val="28"/>
          <w:lang w:bidi="ar-MA"/>
        </w:rPr>
        <w:t xml:space="preserve"> entre tous les acteurs </w:t>
      </w:r>
      <w:r w:rsidR="0014487A" w:rsidRPr="00CB4EE1">
        <w:rPr>
          <w:rFonts w:asciiTheme="majorBidi" w:eastAsia="Batang" w:hAnsiTheme="majorBidi" w:cstheme="majorBidi"/>
          <w:sz w:val="28"/>
          <w:szCs w:val="28"/>
          <w:lang w:bidi="ar-MA"/>
        </w:rPr>
        <w:t xml:space="preserve">intervenants </w:t>
      </w:r>
      <w:r w:rsidR="005572DA" w:rsidRPr="00CB4EE1">
        <w:rPr>
          <w:rFonts w:asciiTheme="majorBidi" w:eastAsia="Batang" w:hAnsiTheme="majorBidi" w:cstheme="majorBidi"/>
          <w:sz w:val="28"/>
          <w:szCs w:val="28"/>
          <w:lang w:bidi="ar-MA"/>
        </w:rPr>
        <w:t>dans la chaîne de la performance;</w:t>
      </w:r>
    </w:p>
    <w:p w:rsidR="0014487A" w:rsidRPr="00CB4EE1" w:rsidRDefault="00E24808" w:rsidP="00CB4EE1">
      <w:pPr>
        <w:pStyle w:val="Paragraphedeliste"/>
        <w:numPr>
          <w:ilvl w:val="0"/>
          <w:numId w:val="1"/>
        </w:numPr>
        <w:spacing w:before="120" w:after="120"/>
        <w:jc w:val="both"/>
        <w:rPr>
          <w:rFonts w:asciiTheme="majorBidi" w:eastAsia="Batang" w:hAnsiTheme="majorBidi" w:cstheme="majorBidi"/>
          <w:sz w:val="28"/>
          <w:szCs w:val="28"/>
          <w:lang w:bidi="ar-MA"/>
        </w:rPr>
      </w:pPr>
      <w:r>
        <w:rPr>
          <w:rFonts w:asciiTheme="majorBidi" w:eastAsia="Batang" w:hAnsiTheme="majorBidi" w:cstheme="majorBidi"/>
          <w:sz w:val="28"/>
          <w:szCs w:val="28"/>
          <w:lang w:bidi="ar-MA"/>
        </w:rPr>
        <w:t>De s</w:t>
      </w:r>
      <w:r w:rsidR="0014487A" w:rsidRPr="00CB4EE1">
        <w:rPr>
          <w:rFonts w:asciiTheme="majorBidi" w:eastAsia="Batang" w:hAnsiTheme="majorBidi" w:cstheme="majorBidi"/>
          <w:sz w:val="28"/>
          <w:szCs w:val="28"/>
          <w:lang w:bidi="ar-MA"/>
        </w:rPr>
        <w:t xml:space="preserve">auvegarder et </w:t>
      </w:r>
      <w:r>
        <w:rPr>
          <w:rFonts w:asciiTheme="majorBidi" w:eastAsia="Batang" w:hAnsiTheme="majorBidi" w:cstheme="majorBidi"/>
          <w:sz w:val="28"/>
          <w:szCs w:val="28"/>
          <w:lang w:bidi="ar-MA"/>
        </w:rPr>
        <w:t xml:space="preserve">de </w:t>
      </w:r>
      <w:r w:rsidR="0014487A" w:rsidRPr="00CB4EE1">
        <w:rPr>
          <w:rFonts w:asciiTheme="majorBidi" w:eastAsia="Batang" w:hAnsiTheme="majorBidi" w:cstheme="majorBidi"/>
          <w:sz w:val="28"/>
          <w:szCs w:val="28"/>
          <w:lang w:bidi="ar-MA"/>
        </w:rPr>
        <w:t>préserver les données des indicateurs pour des utilisations ultérieures, en particulier, aux fins de contrôle, d’évaluation et d’audit.</w:t>
      </w:r>
      <w:r w:rsidR="0014487A" w:rsidRPr="00CB4EE1">
        <w:rPr>
          <w:rFonts w:asciiTheme="majorBidi" w:hAnsiTheme="majorBidi" w:cstheme="majorBidi"/>
          <w:sz w:val="28"/>
          <w:szCs w:val="28"/>
        </w:rPr>
        <w:t xml:space="preserve"> </w:t>
      </w:r>
    </w:p>
    <w:p w:rsidR="0014487A" w:rsidRPr="00CB4EE1" w:rsidRDefault="0014487A" w:rsidP="00E24808">
      <w:pPr>
        <w:spacing w:before="120" w:after="120"/>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 xml:space="preserve">Par ailleurs, les systèmes d’information de la performance s’avèrent primordiale pour l’animation du dialogue de gestion, l’articulation entre le pilotage  stratégique et le pilotage  opérationnel et l’organisation et la coordination des activités. En sus, et dans le cadre de la fonction de contrôle de gestion, ces systèmes fournissent des données importantes (productivité des unités administratives et les moyens matériels et financiers utilisés,...)  qui </w:t>
      </w:r>
      <w:r w:rsidR="00002DA9" w:rsidRPr="00CB4EE1">
        <w:rPr>
          <w:rFonts w:asciiTheme="majorBidi" w:eastAsia="Batang" w:hAnsiTheme="majorBidi" w:cstheme="majorBidi"/>
          <w:sz w:val="28"/>
          <w:szCs w:val="28"/>
          <w:lang w:bidi="ar-MA"/>
        </w:rPr>
        <w:t xml:space="preserve">servent à l’appui de </w:t>
      </w:r>
      <w:r w:rsidRPr="00CB4EE1">
        <w:rPr>
          <w:rFonts w:asciiTheme="majorBidi" w:eastAsia="Batang" w:hAnsiTheme="majorBidi" w:cstheme="majorBidi"/>
          <w:sz w:val="28"/>
          <w:szCs w:val="28"/>
          <w:lang w:bidi="ar-MA"/>
        </w:rPr>
        <w:t xml:space="preserve">la prise de décision et </w:t>
      </w:r>
      <w:r w:rsidR="00002DA9" w:rsidRPr="00CB4EE1">
        <w:rPr>
          <w:rFonts w:asciiTheme="majorBidi" w:eastAsia="Batang" w:hAnsiTheme="majorBidi" w:cstheme="majorBidi"/>
          <w:sz w:val="28"/>
          <w:szCs w:val="28"/>
          <w:lang w:bidi="ar-MA"/>
        </w:rPr>
        <w:t xml:space="preserve">à </w:t>
      </w:r>
      <w:r w:rsidRPr="00CB4EE1">
        <w:rPr>
          <w:rFonts w:asciiTheme="majorBidi" w:eastAsia="Batang" w:hAnsiTheme="majorBidi" w:cstheme="majorBidi"/>
          <w:sz w:val="28"/>
          <w:szCs w:val="28"/>
          <w:lang w:bidi="ar-MA"/>
        </w:rPr>
        <w:t>l’évaluation de la performance.</w:t>
      </w:r>
    </w:p>
    <w:p w:rsidR="009556AE" w:rsidRPr="00CB4EE1" w:rsidRDefault="00002DA9" w:rsidP="00CB4EE1">
      <w:pPr>
        <w:spacing w:before="120" w:after="120"/>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Ainsi, compte tenu de l’importance de ces atouts, les départements ministériels et institutions doivent œuvrer à la mise en place des systèmes d’information qui fournissent toutes les données nécessaires pour assoir la  gestion axée sur les résultats et produire des tableaux de bord de la performance</w:t>
      </w:r>
      <w:r w:rsidRPr="00CB4EE1">
        <w:rPr>
          <w:rFonts w:asciiTheme="majorBidi" w:eastAsia="Batang" w:hAnsiTheme="majorBidi" w:cstheme="majorBidi"/>
          <w:sz w:val="28"/>
          <w:szCs w:val="28"/>
          <w:rtl/>
          <w:lang w:bidi="ar-MA"/>
        </w:rPr>
        <w:t>.</w:t>
      </w:r>
    </w:p>
    <w:p w:rsidR="00FB1E03" w:rsidRPr="00CB4EE1" w:rsidRDefault="00FB1E03" w:rsidP="00CB4EE1">
      <w:pPr>
        <w:pStyle w:val="Paragraphedeliste"/>
        <w:numPr>
          <w:ilvl w:val="0"/>
          <w:numId w:val="19"/>
        </w:numPr>
        <w:spacing w:before="240" w:after="120"/>
        <w:jc w:val="both"/>
        <w:rPr>
          <w:rFonts w:asciiTheme="majorBidi" w:hAnsiTheme="majorBidi" w:cstheme="majorBidi"/>
          <w:b/>
          <w:bCs/>
          <w:sz w:val="28"/>
          <w:szCs w:val="28"/>
        </w:rPr>
      </w:pPr>
      <w:r w:rsidRPr="00CB4EE1">
        <w:rPr>
          <w:rFonts w:asciiTheme="majorBidi" w:hAnsiTheme="majorBidi" w:cstheme="majorBidi"/>
          <w:b/>
          <w:bCs/>
          <w:sz w:val="28"/>
          <w:szCs w:val="28"/>
        </w:rPr>
        <w:t>La mise en œuvre des recommandations des Rapports d’Audit de Performance</w:t>
      </w:r>
    </w:p>
    <w:p w:rsidR="00FB1E03" w:rsidRPr="00CB4EE1" w:rsidRDefault="00C41652" w:rsidP="00C41652">
      <w:pPr>
        <w:spacing w:before="120" w:after="120"/>
        <w:ind w:firstLine="708"/>
        <w:jc w:val="both"/>
        <w:rPr>
          <w:rFonts w:asciiTheme="majorBidi" w:eastAsia="Batang" w:hAnsiTheme="majorBidi" w:cstheme="majorBidi"/>
          <w:sz w:val="28"/>
          <w:szCs w:val="28"/>
          <w:lang w:bidi="ar-MA"/>
        </w:rPr>
      </w:pPr>
      <w:r>
        <w:rPr>
          <w:rFonts w:asciiTheme="majorBidi" w:eastAsia="Batang" w:hAnsiTheme="majorBidi" w:cstheme="majorBidi"/>
          <w:sz w:val="28"/>
          <w:szCs w:val="28"/>
          <w:lang w:bidi="ar-MA"/>
        </w:rPr>
        <w:t>L</w:t>
      </w:r>
      <w:r w:rsidR="00FB1E03" w:rsidRPr="00CB4EE1">
        <w:rPr>
          <w:rFonts w:asciiTheme="majorBidi" w:eastAsia="Batang" w:hAnsiTheme="majorBidi" w:cstheme="majorBidi"/>
          <w:sz w:val="28"/>
          <w:szCs w:val="28"/>
          <w:lang w:bidi="ar-MA"/>
        </w:rPr>
        <w:t>es départements ministériels et institutions doivent déployer les recommandations et les observations issues des Rapports  Sectoriels d’Audit de  Performance des départements ministériels et institutions, élaborés par l’Inspection Générale des Finances, à travers l’adoption de plans d’action sectoriels fixant le calendrier de mise en œuvre des recommandations, notamment celles prioritaires, et d’inviter leurs instances de contrôle pour assurer le suivi de la mise en œuvre de ces recommandations, conformément aux dispositions du décret n° 2-11-112 relatif aux inspections générales des ministères, publié en date du 23 juin 2011.</w:t>
      </w:r>
    </w:p>
    <w:p w:rsidR="00FB1E03" w:rsidRPr="00CB4EE1" w:rsidRDefault="00FB1E03" w:rsidP="00C41652">
      <w:pPr>
        <w:spacing w:before="120" w:after="120"/>
        <w:ind w:firstLine="708"/>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Ainsi</w:t>
      </w:r>
      <w:r w:rsidR="00C41652">
        <w:rPr>
          <w:rFonts w:asciiTheme="majorBidi" w:eastAsia="Batang" w:hAnsiTheme="majorBidi" w:cstheme="majorBidi"/>
          <w:sz w:val="28"/>
          <w:szCs w:val="28"/>
          <w:lang w:bidi="ar-MA"/>
        </w:rPr>
        <w:t>,</w:t>
      </w:r>
      <w:r w:rsidRPr="00CB4EE1">
        <w:rPr>
          <w:rFonts w:asciiTheme="majorBidi" w:eastAsia="Batang" w:hAnsiTheme="majorBidi" w:cstheme="majorBidi"/>
          <w:sz w:val="28"/>
          <w:szCs w:val="28"/>
          <w:lang w:bidi="ar-MA"/>
        </w:rPr>
        <w:t xml:space="preserve"> à la lumière des principales conclusions tirées du bilan sectoriel d’Audit de  Performance, les plans précités doivent prendre en considération les ajustements et les mesures susceptibles de surmonter les dysfonctionnements </w:t>
      </w:r>
      <w:r w:rsidR="00C41652">
        <w:rPr>
          <w:rFonts w:asciiTheme="majorBidi" w:eastAsia="Batang" w:hAnsiTheme="majorBidi" w:cstheme="majorBidi"/>
          <w:sz w:val="28"/>
          <w:szCs w:val="28"/>
          <w:lang w:bidi="ar-MA"/>
        </w:rPr>
        <w:t>décelés</w:t>
      </w:r>
      <w:r w:rsidRPr="00CB4EE1">
        <w:rPr>
          <w:rFonts w:asciiTheme="majorBidi" w:eastAsia="Batang" w:hAnsiTheme="majorBidi" w:cstheme="majorBidi"/>
          <w:sz w:val="28"/>
          <w:szCs w:val="28"/>
          <w:lang w:bidi="ar-MA"/>
        </w:rPr>
        <w:t>.</w:t>
      </w:r>
    </w:p>
    <w:p w:rsidR="00FB1E03" w:rsidRPr="00CB4EE1" w:rsidRDefault="00FB1E03" w:rsidP="00C41652">
      <w:pPr>
        <w:spacing w:before="120" w:after="120"/>
        <w:ind w:firstLine="708"/>
        <w:jc w:val="both"/>
        <w:rPr>
          <w:rFonts w:asciiTheme="majorBidi" w:eastAsia="Batang" w:hAnsiTheme="majorBidi" w:cstheme="majorBidi"/>
          <w:sz w:val="28"/>
          <w:szCs w:val="28"/>
          <w:rtl/>
          <w:lang w:bidi="ar-MA"/>
        </w:rPr>
      </w:pPr>
      <w:r w:rsidRPr="00CB4EE1">
        <w:rPr>
          <w:rFonts w:asciiTheme="majorBidi" w:eastAsia="Batang" w:hAnsiTheme="majorBidi" w:cstheme="majorBidi"/>
          <w:sz w:val="28"/>
          <w:szCs w:val="28"/>
          <w:lang w:bidi="ar-MA"/>
        </w:rPr>
        <w:t xml:space="preserve">Aussi, compte tenu de la cyclicité des missions d’audit de performance, les départements ministériels et institutions sont appelés à fournir les documents et les données nécessaires pour la réalisation de ces missions, au plus tard, avant la fin du mois de septembre de l’année budgétaire qui suit celle objet de l’audit afin de faciliter la mission des commissions d’audit et d’assurer les meilleures conditions pour </w:t>
      </w:r>
      <w:r w:rsidR="00C41652">
        <w:rPr>
          <w:rFonts w:asciiTheme="majorBidi" w:eastAsia="Batang" w:hAnsiTheme="majorBidi" w:cstheme="majorBidi"/>
          <w:sz w:val="28"/>
          <w:szCs w:val="28"/>
          <w:lang w:bidi="ar-MA"/>
        </w:rPr>
        <w:t>son accomplissement</w:t>
      </w:r>
      <w:r w:rsidRPr="00CB4EE1">
        <w:rPr>
          <w:rFonts w:asciiTheme="majorBidi" w:eastAsia="Batang" w:hAnsiTheme="majorBidi" w:cstheme="majorBidi"/>
          <w:sz w:val="28"/>
          <w:szCs w:val="28"/>
          <w:lang w:bidi="ar-MA"/>
        </w:rPr>
        <w:t>.</w:t>
      </w:r>
    </w:p>
    <w:p w:rsidR="00FB1E03" w:rsidRPr="00CB4EE1" w:rsidRDefault="00FB1E03" w:rsidP="00C41652">
      <w:pPr>
        <w:spacing w:before="120" w:after="120"/>
        <w:ind w:firstLine="708"/>
        <w:jc w:val="both"/>
        <w:rPr>
          <w:rFonts w:asciiTheme="majorBidi" w:eastAsia="Batang" w:hAnsiTheme="majorBidi" w:cstheme="majorBidi"/>
          <w:sz w:val="28"/>
          <w:szCs w:val="28"/>
          <w:rtl/>
          <w:lang w:bidi="ar-MA"/>
        </w:rPr>
      </w:pPr>
      <w:r w:rsidRPr="00CB4EE1">
        <w:rPr>
          <w:rFonts w:asciiTheme="majorBidi" w:eastAsia="Batang" w:hAnsiTheme="majorBidi" w:cstheme="majorBidi"/>
          <w:sz w:val="28"/>
          <w:szCs w:val="28"/>
          <w:lang w:bidi="ar-MA"/>
        </w:rPr>
        <w:t xml:space="preserve">De surcroit, afin de garantir l’appropriation des concepts de la performance par l’ensemble des intervenants au niveau des départements ministériels et institutions, les plans d’action sectoriels doivent identifier les mesures de </w:t>
      </w:r>
      <w:r w:rsidR="00C41652">
        <w:rPr>
          <w:rFonts w:asciiTheme="majorBidi" w:eastAsia="Batang" w:hAnsiTheme="majorBidi" w:cstheme="majorBidi"/>
          <w:sz w:val="28"/>
          <w:szCs w:val="28"/>
          <w:lang w:bidi="ar-MA"/>
        </w:rPr>
        <w:t>déploiement</w:t>
      </w:r>
      <w:r w:rsidRPr="00CB4EE1">
        <w:rPr>
          <w:rFonts w:asciiTheme="majorBidi" w:eastAsia="Batang" w:hAnsiTheme="majorBidi" w:cstheme="majorBidi"/>
          <w:sz w:val="28"/>
          <w:szCs w:val="28"/>
          <w:lang w:bidi="ar-MA"/>
        </w:rPr>
        <w:t xml:space="preserve"> des mécanismes et outils de gestion axée sur les résultats qui couvrent, outre les comités de pilotage de la réforme budgétaire susmentionnés, le dispositif de contrôle de gestion, le contrôle interne et le dialogue de gestion entre les acteurs et les partenaires concernés par les programmes.</w:t>
      </w:r>
    </w:p>
    <w:p w:rsidR="00FB1E03" w:rsidRPr="00CB4EE1" w:rsidRDefault="00C41652" w:rsidP="00C41652">
      <w:pPr>
        <w:spacing w:before="120" w:after="120"/>
        <w:ind w:firstLine="708"/>
        <w:jc w:val="both"/>
        <w:rPr>
          <w:rFonts w:asciiTheme="majorBidi" w:eastAsia="Batang" w:hAnsiTheme="majorBidi" w:cstheme="majorBidi"/>
          <w:sz w:val="28"/>
          <w:szCs w:val="28"/>
          <w:lang w:bidi="ar-MA"/>
        </w:rPr>
      </w:pPr>
      <w:r>
        <w:rPr>
          <w:rFonts w:asciiTheme="majorBidi" w:eastAsia="Batang" w:hAnsiTheme="majorBidi" w:cstheme="majorBidi"/>
          <w:sz w:val="28"/>
          <w:szCs w:val="28"/>
          <w:lang w:bidi="ar-MA"/>
        </w:rPr>
        <w:t>A cet effet,</w:t>
      </w:r>
      <w:r w:rsidR="00FB1E03" w:rsidRPr="00CB4EE1">
        <w:rPr>
          <w:rFonts w:asciiTheme="majorBidi" w:eastAsia="Batang" w:hAnsiTheme="majorBidi" w:cstheme="majorBidi"/>
          <w:sz w:val="28"/>
          <w:szCs w:val="28"/>
          <w:lang w:bidi="ar-MA"/>
        </w:rPr>
        <w:t xml:space="preserve"> et dans le cadre de l’accompagnement des efforts des départements ministériels et institutions, </w:t>
      </w:r>
      <w:r>
        <w:rPr>
          <w:rFonts w:asciiTheme="majorBidi" w:eastAsia="Batang" w:hAnsiTheme="majorBidi" w:cstheme="majorBidi"/>
          <w:sz w:val="28"/>
          <w:szCs w:val="28"/>
          <w:lang w:bidi="ar-MA"/>
        </w:rPr>
        <w:t>dans l’amélioration de</w:t>
      </w:r>
      <w:r w:rsidR="00FB1E03" w:rsidRPr="00CB4EE1">
        <w:rPr>
          <w:rFonts w:asciiTheme="majorBidi" w:eastAsia="Batang" w:hAnsiTheme="majorBidi" w:cstheme="majorBidi"/>
          <w:sz w:val="28"/>
          <w:szCs w:val="28"/>
          <w:lang w:bidi="ar-MA"/>
        </w:rPr>
        <w:t xml:space="preserve"> leur budgétisation par programme</w:t>
      </w:r>
      <w:r>
        <w:rPr>
          <w:rFonts w:asciiTheme="majorBidi" w:eastAsia="Batang" w:hAnsiTheme="majorBidi" w:cstheme="majorBidi"/>
          <w:sz w:val="28"/>
          <w:szCs w:val="28"/>
          <w:lang w:bidi="ar-MA"/>
        </w:rPr>
        <w:t>, le déploiement</w:t>
      </w:r>
      <w:r w:rsidR="00FB1E03" w:rsidRPr="00CB4EE1">
        <w:rPr>
          <w:rFonts w:asciiTheme="majorBidi" w:eastAsia="Batang" w:hAnsiTheme="majorBidi" w:cstheme="majorBidi"/>
          <w:sz w:val="28"/>
          <w:szCs w:val="28"/>
          <w:lang w:bidi="ar-MA"/>
        </w:rPr>
        <w:t xml:space="preserve"> </w:t>
      </w:r>
      <w:r>
        <w:rPr>
          <w:rFonts w:asciiTheme="majorBidi" w:eastAsia="Batang" w:hAnsiTheme="majorBidi" w:cstheme="majorBidi"/>
          <w:sz w:val="28"/>
          <w:szCs w:val="28"/>
          <w:lang w:bidi="ar-MA"/>
        </w:rPr>
        <w:t>de</w:t>
      </w:r>
      <w:r w:rsidR="00FB1E03" w:rsidRPr="00CB4EE1">
        <w:rPr>
          <w:rFonts w:asciiTheme="majorBidi" w:eastAsia="Batang" w:hAnsiTheme="majorBidi" w:cstheme="majorBidi"/>
          <w:sz w:val="28"/>
          <w:szCs w:val="28"/>
          <w:lang w:bidi="ar-MA"/>
        </w:rPr>
        <w:t xml:space="preserve"> la démarche de performance et d</w:t>
      </w:r>
      <w:r>
        <w:rPr>
          <w:rFonts w:asciiTheme="majorBidi" w:eastAsia="Batang" w:hAnsiTheme="majorBidi" w:cstheme="majorBidi"/>
          <w:sz w:val="28"/>
          <w:szCs w:val="28"/>
          <w:lang w:bidi="ar-MA"/>
        </w:rPr>
        <w:t>’u</w:t>
      </w:r>
      <w:r w:rsidR="00FB1E03" w:rsidRPr="00CB4EE1">
        <w:rPr>
          <w:rFonts w:asciiTheme="majorBidi" w:eastAsia="Batang" w:hAnsiTheme="majorBidi" w:cstheme="majorBidi"/>
          <w:sz w:val="28"/>
          <w:szCs w:val="28"/>
          <w:lang w:bidi="ar-MA"/>
        </w:rPr>
        <w:t>n dispositif efficace de pilotage de la performance, la Direction du Budget relevant du Ministère de l’Economie, des Finances et de la Réforme de l’Administration œuvr</w:t>
      </w:r>
      <w:r w:rsidR="00F54968">
        <w:rPr>
          <w:rFonts w:asciiTheme="majorBidi" w:eastAsia="Batang" w:hAnsiTheme="majorBidi" w:cstheme="majorBidi"/>
          <w:sz w:val="28"/>
          <w:szCs w:val="28"/>
          <w:lang w:bidi="ar-MA"/>
        </w:rPr>
        <w:t>er</w:t>
      </w:r>
      <w:r w:rsidR="00FB1E03" w:rsidRPr="00CB4EE1">
        <w:rPr>
          <w:rFonts w:asciiTheme="majorBidi" w:eastAsia="Batang" w:hAnsiTheme="majorBidi" w:cstheme="majorBidi"/>
          <w:sz w:val="28"/>
          <w:szCs w:val="28"/>
          <w:lang w:bidi="ar-MA"/>
        </w:rPr>
        <w:t xml:space="preserve">a au déploiement d’un plan d’action dont les mesures </w:t>
      </w:r>
      <w:r>
        <w:rPr>
          <w:rFonts w:asciiTheme="majorBidi" w:eastAsia="Batang" w:hAnsiTheme="majorBidi" w:cstheme="majorBidi"/>
          <w:sz w:val="28"/>
          <w:szCs w:val="28"/>
          <w:lang w:bidi="ar-MA"/>
        </w:rPr>
        <w:t>se rapportent</w:t>
      </w:r>
      <w:r w:rsidR="00FB1E03" w:rsidRPr="00CB4EE1">
        <w:rPr>
          <w:rFonts w:asciiTheme="majorBidi" w:eastAsia="Batang" w:hAnsiTheme="majorBidi" w:cstheme="majorBidi"/>
          <w:sz w:val="28"/>
          <w:szCs w:val="28"/>
          <w:lang w:bidi="ar-MA"/>
        </w:rPr>
        <w:t xml:space="preserve"> aux aspects méthodologiques et institutionnels et, également, à la formation et au renforcement des capacités.</w:t>
      </w:r>
    </w:p>
    <w:p w:rsidR="00FB1E03" w:rsidRPr="00CB4EE1" w:rsidRDefault="00FB1E03" w:rsidP="00C41652">
      <w:pPr>
        <w:ind w:firstLine="708"/>
        <w:jc w:val="both"/>
        <w:rPr>
          <w:rFonts w:asciiTheme="majorBidi" w:eastAsia="Batang" w:hAnsiTheme="majorBidi" w:cstheme="majorBidi"/>
          <w:sz w:val="28"/>
          <w:szCs w:val="28"/>
          <w:lang w:bidi="ar-MA"/>
        </w:rPr>
      </w:pPr>
      <w:r w:rsidRPr="00CB4EE1">
        <w:rPr>
          <w:rFonts w:asciiTheme="majorBidi" w:eastAsia="Batang" w:hAnsiTheme="majorBidi" w:cstheme="majorBidi"/>
          <w:sz w:val="28"/>
          <w:szCs w:val="28"/>
          <w:lang w:bidi="ar-MA"/>
        </w:rPr>
        <w:t>Insistant sur l’importance que revêt l’adhésion à l’esprit de la réforme budgétaire, étant un pilier d’une réforme en profondeur de l’action de l’Etat qui prône une nouve</w:t>
      </w:r>
      <w:r w:rsidR="00C41652">
        <w:rPr>
          <w:rFonts w:asciiTheme="majorBidi" w:eastAsia="Batang" w:hAnsiTheme="majorBidi" w:cstheme="majorBidi"/>
          <w:sz w:val="28"/>
          <w:szCs w:val="28"/>
          <w:lang w:bidi="ar-MA"/>
        </w:rPr>
        <w:t xml:space="preserve">lle culture de gestion publique et un </w:t>
      </w:r>
      <w:r w:rsidRPr="00CB4EE1">
        <w:rPr>
          <w:rFonts w:asciiTheme="majorBidi" w:eastAsia="Batang" w:hAnsiTheme="majorBidi" w:cstheme="majorBidi"/>
          <w:sz w:val="28"/>
          <w:szCs w:val="28"/>
          <w:lang w:bidi="ar-MA"/>
        </w:rPr>
        <w:t>carrefour des différentes réformes relatives à la gouvernance financière, administrative et territoriale, les départements ministériels et institutions sont invités à coopérer avec les services du ministère chargé des finances pour assurer une meilleure application du contenu de la présente circulaire.</w:t>
      </w:r>
    </w:p>
    <w:p w:rsidR="00A04285" w:rsidRPr="00CB4EE1" w:rsidRDefault="00A04285" w:rsidP="00CB4EE1">
      <w:pPr>
        <w:tabs>
          <w:tab w:val="left" w:pos="8103"/>
        </w:tabs>
        <w:bidi/>
        <w:jc w:val="both"/>
        <w:rPr>
          <w:rFonts w:asciiTheme="majorBidi" w:eastAsia="Batang" w:hAnsiTheme="majorBidi" w:cstheme="majorBidi"/>
          <w:sz w:val="28"/>
          <w:szCs w:val="28"/>
          <w:lang w:bidi="ar-MA"/>
        </w:rPr>
      </w:pPr>
    </w:p>
    <w:sectPr w:rsidR="00A04285" w:rsidRPr="00CB4EE1" w:rsidSect="00B02C13">
      <w:footerReference w:type="default" r:id="rId9"/>
      <w:pgSz w:w="11906" w:h="16838"/>
      <w:pgMar w:top="851" w:right="1134" w:bottom="992" w:left="1134" w:header="709"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E030" w16cex:dateUtc="2021-06-24T09:42:00Z"/>
  <w16cex:commentExtensible w16cex:durableId="247EE06D" w16cex:dateUtc="2021-06-24T09:43:00Z"/>
  <w16cex:commentExtensible w16cex:durableId="247EE3C4" w16cex:dateUtc="2021-06-24T09:58:00Z"/>
  <w16cex:commentExtensible w16cex:durableId="247EE2F2" w16cex:dateUtc="2021-06-24T09:54:00Z"/>
  <w16cex:commentExtensible w16cex:durableId="247EE331" w16cex:dateUtc="2021-06-24T09:55:00Z"/>
  <w16cex:commentExtensible w16cex:durableId="247EE08D" w16cex:dateUtc="2021-06-24T09:44:00Z"/>
  <w16cex:commentExtensible w16cex:durableId="247EE0A2" w16cex:dateUtc="2021-06-24T09:44:00Z"/>
  <w16cex:commentExtensible w16cex:durableId="247EE0B8" w16cex:dateUtc="2021-06-24T09:45:00Z"/>
  <w16cex:commentExtensible w16cex:durableId="247EE469" w16cex:dateUtc="2021-06-24T10:00:00Z"/>
  <w16cex:commentExtensible w16cex:durableId="247EE0D5" w16cex:dateUtc="2021-06-24T09:45:00Z"/>
  <w16cex:commentExtensible w16cex:durableId="247EE119" w16cex:dateUtc="2021-06-24T09:46:00Z"/>
  <w16cex:commentExtensible w16cex:durableId="247EE14C" w16cex:dateUtc="2021-06-24T09:47:00Z"/>
  <w16cex:commentExtensible w16cex:durableId="247EE175" w16cex:dateUtc="2021-06-24T09:48:00Z"/>
  <w16cex:commentExtensible w16cex:durableId="247EE213" w16cex:dateUtc="2021-06-24T09:50:00Z"/>
  <w16cex:commentExtensible w16cex:durableId="247EE22E" w16cex:dateUtc="2021-06-24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8858C" w16cid:durableId="247EE030"/>
  <w16cid:commentId w16cid:paraId="387296A0" w16cid:durableId="247EE06D"/>
  <w16cid:commentId w16cid:paraId="0D563902" w16cid:durableId="247EE3C4"/>
  <w16cid:commentId w16cid:paraId="1EB9FEAD" w16cid:durableId="247EE2F2"/>
  <w16cid:commentId w16cid:paraId="3E84884D" w16cid:durableId="247EE331"/>
  <w16cid:commentId w16cid:paraId="495A19C5" w16cid:durableId="247EE08D"/>
  <w16cid:commentId w16cid:paraId="3917752A" w16cid:durableId="247EE0A2"/>
  <w16cid:commentId w16cid:paraId="49A396E7" w16cid:durableId="247EE0B8"/>
  <w16cid:commentId w16cid:paraId="58092BEF" w16cid:durableId="247EE469"/>
  <w16cid:commentId w16cid:paraId="4C845E30" w16cid:durableId="247EE0D5"/>
  <w16cid:commentId w16cid:paraId="586B5CF0" w16cid:durableId="247EE119"/>
  <w16cid:commentId w16cid:paraId="384EB382" w16cid:durableId="247EE14C"/>
  <w16cid:commentId w16cid:paraId="7373BC75" w16cid:durableId="247EE175"/>
  <w16cid:commentId w16cid:paraId="248DE67D" w16cid:durableId="247EE213"/>
  <w16cid:commentId w16cid:paraId="2C2BF76E" w16cid:durableId="247EE2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879" w:rsidRDefault="00512879" w:rsidP="00586F46">
      <w:pPr>
        <w:spacing w:after="0" w:line="240" w:lineRule="auto"/>
      </w:pPr>
      <w:r>
        <w:separator/>
      </w:r>
    </w:p>
  </w:endnote>
  <w:endnote w:type="continuationSeparator" w:id="0">
    <w:p w:rsidR="00512879" w:rsidRDefault="00512879" w:rsidP="0058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Arabic Transparent">
    <w:panose1 w:val="020B0604020202020204"/>
    <w:charset w:val="00"/>
    <w:family w:val="swiss"/>
    <w:pitch w:val="variable"/>
    <w:sig w:usb0="E0002EFF" w:usb1="C000785B" w:usb2="00000009" w:usb3="00000000" w:csb0="000001FF" w:csb1="00000000"/>
  </w:font>
  <w:font w:name="OpenSans-Semibold">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470069"/>
      <w:docPartObj>
        <w:docPartGallery w:val="Page Numbers (Bottom of Page)"/>
        <w:docPartUnique/>
      </w:docPartObj>
    </w:sdtPr>
    <w:sdtEndPr/>
    <w:sdtContent>
      <w:p w:rsidR="00282E69" w:rsidRDefault="00282E69">
        <w:pPr>
          <w:pStyle w:val="Pieddepage"/>
          <w:jc w:val="center"/>
        </w:pPr>
        <w:r>
          <w:fldChar w:fldCharType="begin"/>
        </w:r>
        <w:r>
          <w:instrText>PAGE   \* MERGEFORMAT</w:instrText>
        </w:r>
        <w:r>
          <w:fldChar w:fldCharType="separate"/>
        </w:r>
        <w:r w:rsidR="003435C4">
          <w:rPr>
            <w:noProof/>
          </w:rPr>
          <w:t>1</w:t>
        </w:r>
        <w:r>
          <w:fldChar w:fldCharType="end"/>
        </w:r>
      </w:p>
    </w:sdtContent>
  </w:sdt>
  <w:p w:rsidR="00282E69" w:rsidRDefault="00282E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879" w:rsidRDefault="00512879" w:rsidP="00586F46">
      <w:pPr>
        <w:spacing w:after="0" w:line="240" w:lineRule="auto"/>
      </w:pPr>
      <w:r>
        <w:separator/>
      </w:r>
    </w:p>
  </w:footnote>
  <w:footnote w:type="continuationSeparator" w:id="0">
    <w:p w:rsidR="00512879" w:rsidRDefault="00512879" w:rsidP="00586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229"/>
    <w:multiLevelType w:val="hybridMultilevel"/>
    <w:tmpl w:val="E4681650"/>
    <w:lvl w:ilvl="0" w:tplc="133AFB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CA199A"/>
    <w:multiLevelType w:val="hybridMultilevel"/>
    <w:tmpl w:val="9DC87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F2CD8"/>
    <w:multiLevelType w:val="hybridMultilevel"/>
    <w:tmpl w:val="89D65FE6"/>
    <w:lvl w:ilvl="0" w:tplc="A1C23E1E">
      <w:start w:val="1"/>
      <w:numFmt w:val="bullet"/>
      <w:lvlText w:val=""/>
      <w:lvlJc w:val="left"/>
      <w:pPr>
        <w:ind w:left="1080" w:hanging="360"/>
      </w:pPr>
      <w:rPr>
        <w:rFonts w:ascii="Wingdings 3" w:hAnsi="Wingdings 3"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3" w15:restartNumberingAfterBreak="0">
    <w:nsid w:val="172D43FF"/>
    <w:multiLevelType w:val="hybridMultilevel"/>
    <w:tmpl w:val="7D98C3D0"/>
    <w:lvl w:ilvl="0" w:tplc="A1C23E1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8454B"/>
    <w:multiLevelType w:val="hybridMultilevel"/>
    <w:tmpl w:val="6628936A"/>
    <w:lvl w:ilvl="0" w:tplc="E630485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8F5680"/>
    <w:multiLevelType w:val="hybridMultilevel"/>
    <w:tmpl w:val="3934EDE2"/>
    <w:lvl w:ilvl="0" w:tplc="EB907A0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844878"/>
    <w:multiLevelType w:val="hybridMultilevel"/>
    <w:tmpl w:val="65F85102"/>
    <w:lvl w:ilvl="0" w:tplc="7C4AA410">
      <w:numFmt w:val="bullet"/>
      <w:lvlText w:val="-"/>
      <w:lvlJc w:val="left"/>
      <w:pPr>
        <w:ind w:left="720" w:hanging="360"/>
      </w:pPr>
      <w:rPr>
        <w:rFonts w:ascii="Adobe Arabic" w:eastAsiaTheme="minorHAnsi" w:hAnsi="Adobe Arabic" w:cs="Adobe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93813"/>
    <w:multiLevelType w:val="hybridMultilevel"/>
    <w:tmpl w:val="DC040094"/>
    <w:lvl w:ilvl="0" w:tplc="7DF2356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CA1CB3"/>
    <w:multiLevelType w:val="hybridMultilevel"/>
    <w:tmpl w:val="E804998A"/>
    <w:lvl w:ilvl="0" w:tplc="B0343EF8">
      <w:start w:val="1"/>
      <w:numFmt w:val="bullet"/>
      <w:pStyle w:val="PuceAr"/>
      <w:lvlText w:val=""/>
      <w:lvlJc w:val="left"/>
      <w:pPr>
        <w:ind w:left="720" w:hanging="360"/>
      </w:pPr>
      <w:rPr>
        <w:rFonts w:ascii="Wingdings 3" w:hAnsi="Wingdings 3" w:cs="Wingdings 3" w:hint="default"/>
        <w:color w:val="4B3C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021794"/>
    <w:multiLevelType w:val="hybridMultilevel"/>
    <w:tmpl w:val="694623BA"/>
    <w:lvl w:ilvl="0" w:tplc="C526D1EC">
      <w:start w:val="1"/>
      <w:numFmt w:val="bullet"/>
      <w:lvlText w:val="■"/>
      <w:lvlJc w:val="left"/>
      <w:pPr>
        <w:ind w:left="720" w:hanging="360"/>
      </w:pPr>
      <w:rPr>
        <w:rFonts w:ascii="Times New Roman" w:hAnsi="Times New Roman" w:cs="Times New Roman" w:hint="default"/>
        <w:color w:val="4B3C31"/>
        <w:spacing w:val="-1"/>
        <w:w w:val="100"/>
        <w:sz w:val="19"/>
        <w:szCs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E17B4"/>
    <w:multiLevelType w:val="hybridMultilevel"/>
    <w:tmpl w:val="9F2CF3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395F9E"/>
    <w:multiLevelType w:val="hybridMultilevel"/>
    <w:tmpl w:val="DB4A45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9014B0"/>
    <w:multiLevelType w:val="hybridMultilevel"/>
    <w:tmpl w:val="BC96592A"/>
    <w:lvl w:ilvl="0" w:tplc="C526D1EC">
      <w:start w:val="1"/>
      <w:numFmt w:val="bullet"/>
      <w:lvlText w:val="■"/>
      <w:lvlJc w:val="left"/>
      <w:pPr>
        <w:ind w:left="720" w:hanging="360"/>
      </w:pPr>
      <w:rPr>
        <w:rFonts w:ascii="Times New Roman" w:hAnsi="Times New Roman" w:cs="Times New Roman" w:hint="default"/>
        <w:color w:val="4B3C31"/>
        <w:spacing w:val="-1"/>
        <w:w w:val="100"/>
        <w:sz w:val="19"/>
        <w:szCs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4F61C0"/>
    <w:multiLevelType w:val="hybridMultilevel"/>
    <w:tmpl w:val="5C80071A"/>
    <w:lvl w:ilvl="0" w:tplc="0D4C7462">
      <w:numFmt w:val="bullet"/>
      <w:lvlText w:val="-"/>
      <w:lvlJc w:val="left"/>
      <w:pPr>
        <w:ind w:left="720" w:hanging="360"/>
      </w:pPr>
      <w:rPr>
        <w:rFonts w:ascii="Adobe Arabic" w:eastAsia="Batang" w:hAnsi="Adobe Arabic" w:cs="Adobe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C25509"/>
    <w:multiLevelType w:val="hybridMultilevel"/>
    <w:tmpl w:val="20247C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5236A7"/>
    <w:multiLevelType w:val="hybridMultilevel"/>
    <w:tmpl w:val="68D632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E07194"/>
    <w:multiLevelType w:val="hybridMultilevel"/>
    <w:tmpl w:val="33000BC0"/>
    <w:lvl w:ilvl="0" w:tplc="840E9974">
      <w:start w:val="1"/>
      <w:numFmt w:val="bullet"/>
      <w:lvlText w:val=""/>
      <w:lvlJc w:val="left"/>
      <w:pPr>
        <w:ind w:left="720" w:hanging="360"/>
      </w:pPr>
      <w:rPr>
        <w:rFonts w:ascii="Wingdings 3" w:hAnsi="Wingdings 3" w:hint="default"/>
        <w:color w:val="C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1A475A"/>
    <w:multiLevelType w:val="hybridMultilevel"/>
    <w:tmpl w:val="2910D09C"/>
    <w:lvl w:ilvl="0" w:tplc="4CC0D89E">
      <w:start w:val="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951016"/>
    <w:multiLevelType w:val="hybridMultilevel"/>
    <w:tmpl w:val="95EC2D88"/>
    <w:lvl w:ilvl="0" w:tplc="8D4C46A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0A1E7F"/>
    <w:multiLevelType w:val="hybridMultilevel"/>
    <w:tmpl w:val="F7D8CDD2"/>
    <w:lvl w:ilvl="0" w:tplc="6D888EBA">
      <w:numFmt w:val="bullet"/>
      <w:lvlText w:val=""/>
      <w:lvlJc w:val="left"/>
      <w:pPr>
        <w:ind w:left="720" w:hanging="360"/>
      </w:pPr>
      <w:rPr>
        <w:rFonts w:ascii="Symbol" w:eastAsia="Times New Roman" w:hAnsi="Symbol"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B77E34"/>
    <w:multiLevelType w:val="hybridMultilevel"/>
    <w:tmpl w:val="ABD82B3C"/>
    <w:lvl w:ilvl="0" w:tplc="A1C23E1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635C87"/>
    <w:multiLevelType w:val="hybridMultilevel"/>
    <w:tmpl w:val="FD7ACBF0"/>
    <w:lvl w:ilvl="0" w:tplc="D8ACC2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937DCB"/>
    <w:multiLevelType w:val="hybridMultilevel"/>
    <w:tmpl w:val="4858D804"/>
    <w:lvl w:ilvl="0" w:tplc="C526D1EC">
      <w:start w:val="1"/>
      <w:numFmt w:val="bullet"/>
      <w:lvlText w:val="■"/>
      <w:lvlJc w:val="left"/>
      <w:pPr>
        <w:ind w:left="1296" w:hanging="360"/>
      </w:pPr>
      <w:rPr>
        <w:rFonts w:ascii="Times New Roman" w:hAnsi="Times New Roman" w:cs="Times New Roman" w:hint="default"/>
        <w:color w:val="4B3C31"/>
        <w:spacing w:val="-1"/>
        <w:w w:val="100"/>
        <w:sz w:val="19"/>
        <w:szCs w:val="19"/>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3" w15:restartNumberingAfterBreak="0">
    <w:nsid w:val="76FA2C56"/>
    <w:multiLevelType w:val="hybridMultilevel"/>
    <w:tmpl w:val="5838D0F8"/>
    <w:lvl w:ilvl="0" w:tplc="4CC0D89E">
      <w:start w:val="8"/>
      <w:numFmt w:val="bullet"/>
      <w:lvlText w:val="-"/>
      <w:lvlJc w:val="left"/>
      <w:pPr>
        <w:ind w:left="720" w:hanging="360"/>
      </w:pPr>
      <w:rPr>
        <w:rFonts w:ascii="Traditional Arabic" w:eastAsiaTheme="minorHAnsi" w:hAnsi="Traditional Arabic"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5524AE"/>
    <w:multiLevelType w:val="hybridMultilevel"/>
    <w:tmpl w:val="D9B24598"/>
    <w:lvl w:ilvl="0" w:tplc="13FABEB0">
      <w:numFmt w:val="bullet"/>
      <w:lvlText w:val="-"/>
      <w:lvlJc w:val="left"/>
      <w:pPr>
        <w:ind w:left="720" w:hanging="360"/>
      </w:pPr>
      <w:rPr>
        <w:rFonts w:ascii="Gotham Medium" w:eastAsia="Calibri" w:hAnsi="Gotham 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14"/>
  </w:num>
  <w:num w:numId="5">
    <w:abstractNumId w:val="1"/>
  </w:num>
  <w:num w:numId="6">
    <w:abstractNumId w:val="23"/>
  </w:num>
  <w:num w:numId="7">
    <w:abstractNumId w:val="22"/>
  </w:num>
  <w:num w:numId="8">
    <w:abstractNumId w:val="12"/>
  </w:num>
  <w:num w:numId="9">
    <w:abstractNumId w:val="9"/>
  </w:num>
  <w:num w:numId="10">
    <w:abstractNumId w:val="18"/>
  </w:num>
  <w:num w:numId="11">
    <w:abstractNumId w:val="4"/>
  </w:num>
  <w:num w:numId="12">
    <w:abstractNumId w:val="8"/>
  </w:num>
  <w:num w:numId="13">
    <w:abstractNumId w:val="5"/>
  </w:num>
  <w:num w:numId="14">
    <w:abstractNumId w:val="13"/>
  </w:num>
  <w:num w:numId="15">
    <w:abstractNumId w:val="19"/>
  </w:num>
  <w:num w:numId="16">
    <w:abstractNumId w:val="24"/>
  </w:num>
  <w:num w:numId="17">
    <w:abstractNumId w:val="2"/>
  </w:num>
  <w:num w:numId="18">
    <w:abstractNumId w:val="10"/>
  </w:num>
  <w:num w:numId="19">
    <w:abstractNumId w:val="11"/>
  </w:num>
  <w:num w:numId="20">
    <w:abstractNumId w:val="7"/>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98"/>
    <w:rsid w:val="00002DA9"/>
    <w:rsid w:val="00004046"/>
    <w:rsid w:val="0000448C"/>
    <w:rsid w:val="00006888"/>
    <w:rsid w:val="00011DAA"/>
    <w:rsid w:val="00014203"/>
    <w:rsid w:val="00016E46"/>
    <w:rsid w:val="00023524"/>
    <w:rsid w:val="00025CA0"/>
    <w:rsid w:val="00031233"/>
    <w:rsid w:val="000433D9"/>
    <w:rsid w:val="000555BE"/>
    <w:rsid w:val="000676D5"/>
    <w:rsid w:val="00076CD0"/>
    <w:rsid w:val="00082751"/>
    <w:rsid w:val="000A3AF6"/>
    <w:rsid w:val="000A6D57"/>
    <w:rsid w:val="000B4919"/>
    <w:rsid w:val="000C04CF"/>
    <w:rsid w:val="000C05DC"/>
    <w:rsid w:val="000C1A19"/>
    <w:rsid w:val="000D1015"/>
    <w:rsid w:val="000D2B0C"/>
    <w:rsid w:val="000D6603"/>
    <w:rsid w:val="000E1A5B"/>
    <w:rsid w:val="000E6915"/>
    <w:rsid w:val="000E714C"/>
    <w:rsid w:val="000E75FB"/>
    <w:rsid w:val="000F4A78"/>
    <w:rsid w:val="000F7F67"/>
    <w:rsid w:val="001001A0"/>
    <w:rsid w:val="00107BEF"/>
    <w:rsid w:val="0011004B"/>
    <w:rsid w:val="001144AB"/>
    <w:rsid w:val="0012044D"/>
    <w:rsid w:val="00120A7C"/>
    <w:rsid w:val="001316EB"/>
    <w:rsid w:val="00132015"/>
    <w:rsid w:val="00133C6B"/>
    <w:rsid w:val="0014487A"/>
    <w:rsid w:val="0014693F"/>
    <w:rsid w:val="00146950"/>
    <w:rsid w:val="00153C10"/>
    <w:rsid w:val="001548C3"/>
    <w:rsid w:val="00156643"/>
    <w:rsid w:val="001612C8"/>
    <w:rsid w:val="001651D3"/>
    <w:rsid w:val="0017017F"/>
    <w:rsid w:val="001720CD"/>
    <w:rsid w:val="00175E0A"/>
    <w:rsid w:val="0018148D"/>
    <w:rsid w:val="0018774E"/>
    <w:rsid w:val="001879EE"/>
    <w:rsid w:val="001C088F"/>
    <w:rsid w:val="001D48CC"/>
    <w:rsid w:val="001E1274"/>
    <w:rsid w:val="001E4EFE"/>
    <w:rsid w:val="001F68AA"/>
    <w:rsid w:val="001F79DE"/>
    <w:rsid w:val="002046AC"/>
    <w:rsid w:val="002061E0"/>
    <w:rsid w:val="00206930"/>
    <w:rsid w:val="00211954"/>
    <w:rsid w:val="002164A6"/>
    <w:rsid w:val="0022571D"/>
    <w:rsid w:val="002258AA"/>
    <w:rsid w:val="00225993"/>
    <w:rsid w:val="00233F52"/>
    <w:rsid w:val="00234872"/>
    <w:rsid w:val="00237F88"/>
    <w:rsid w:val="00244482"/>
    <w:rsid w:val="0025472F"/>
    <w:rsid w:val="00282E69"/>
    <w:rsid w:val="002861D4"/>
    <w:rsid w:val="002870C3"/>
    <w:rsid w:val="00287B0A"/>
    <w:rsid w:val="00296869"/>
    <w:rsid w:val="002A1569"/>
    <w:rsid w:val="002A720A"/>
    <w:rsid w:val="002B10D9"/>
    <w:rsid w:val="002B2CDD"/>
    <w:rsid w:val="002B7B3E"/>
    <w:rsid w:val="002C1C06"/>
    <w:rsid w:val="002D47E1"/>
    <w:rsid w:val="002F1580"/>
    <w:rsid w:val="002F47EB"/>
    <w:rsid w:val="00303C5D"/>
    <w:rsid w:val="00310013"/>
    <w:rsid w:val="00310583"/>
    <w:rsid w:val="00313711"/>
    <w:rsid w:val="003200A4"/>
    <w:rsid w:val="003204A1"/>
    <w:rsid w:val="00321481"/>
    <w:rsid w:val="00324DCA"/>
    <w:rsid w:val="003264DB"/>
    <w:rsid w:val="0032696E"/>
    <w:rsid w:val="00327006"/>
    <w:rsid w:val="00343151"/>
    <w:rsid w:val="003435C4"/>
    <w:rsid w:val="003471FD"/>
    <w:rsid w:val="00351D4D"/>
    <w:rsid w:val="00353336"/>
    <w:rsid w:val="00354345"/>
    <w:rsid w:val="00367D48"/>
    <w:rsid w:val="0037231B"/>
    <w:rsid w:val="00385A3A"/>
    <w:rsid w:val="00387B6F"/>
    <w:rsid w:val="00397BF7"/>
    <w:rsid w:val="003A52FC"/>
    <w:rsid w:val="003A7913"/>
    <w:rsid w:val="003B7A68"/>
    <w:rsid w:val="003D1F57"/>
    <w:rsid w:val="003D32DC"/>
    <w:rsid w:val="003E542A"/>
    <w:rsid w:val="003E7342"/>
    <w:rsid w:val="003F046D"/>
    <w:rsid w:val="003F0489"/>
    <w:rsid w:val="003F3E7D"/>
    <w:rsid w:val="00404C1B"/>
    <w:rsid w:val="00413A54"/>
    <w:rsid w:val="004166FA"/>
    <w:rsid w:val="00417663"/>
    <w:rsid w:val="0042036C"/>
    <w:rsid w:val="00421C66"/>
    <w:rsid w:val="0042441D"/>
    <w:rsid w:val="00431EBD"/>
    <w:rsid w:val="0043274D"/>
    <w:rsid w:val="00444F40"/>
    <w:rsid w:val="0044758B"/>
    <w:rsid w:val="00454F7B"/>
    <w:rsid w:val="00474CAA"/>
    <w:rsid w:val="00484AC0"/>
    <w:rsid w:val="00491D8D"/>
    <w:rsid w:val="00495966"/>
    <w:rsid w:val="00497701"/>
    <w:rsid w:val="004A5DD1"/>
    <w:rsid w:val="004B69AB"/>
    <w:rsid w:val="004E23F1"/>
    <w:rsid w:val="004E4E00"/>
    <w:rsid w:val="004E6DD4"/>
    <w:rsid w:val="004E7187"/>
    <w:rsid w:val="004E7823"/>
    <w:rsid w:val="004F7FBA"/>
    <w:rsid w:val="005053C3"/>
    <w:rsid w:val="005054B1"/>
    <w:rsid w:val="00512879"/>
    <w:rsid w:val="00521411"/>
    <w:rsid w:val="005227DF"/>
    <w:rsid w:val="00523DE1"/>
    <w:rsid w:val="00525FE0"/>
    <w:rsid w:val="00540A63"/>
    <w:rsid w:val="0054100F"/>
    <w:rsid w:val="005410B9"/>
    <w:rsid w:val="005432EB"/>
    <w:rsid w:val="005572DA"/>
    <w:rsid w:val="00572CBF"/>
    <w:rsid w:val="005749DF"/>
    <w:rsid w:val="00586591"/>
    <w:rsid w:val="00586895"/>
    <w:rsid w:val="00586F46"/>
    <w:rsid w:val="00593F50"/>
    <w:rsid w:val="00596D31"/>
    <w:rsid w:val="005A0BF3"/>
    <w:rsid w:val="005A3BA4"/>
    <w:rsid w:val="005A6288"/>
    <w:rsid w:val="005B3E2E"/>
    <w:rsid w:val="005B43BE"/>
    <w:rsid w:val="005B447D"/>
    <w:rsid w:val="005B6330"/>
    <w:rsid w:val="005C6393"/>
    <w:rsid w:val="005D663E"/>
    <w:rsid w:val="005E4D70"/>
    <w:rsid w:val="006140A9"/>
    <w:rsid w:val="00614DBF"/>
    <w:rsid w:val="00616B71"/>
    <w:rsid w:val="00617F03"/>
    <w:rsid w:val="006265D4"/>
    <w:rsid w:val="00632448"/>
    <w:rsid w:val="0063615F"/>
    <w:rsid w:val="006400B6"/>
    <w:rsid w:val="00641B65"/>
    <w:rsid w:val="00644425"/>
    <w:rsid w:val="006454E3"/>
    <w:rsid w:val="006470DB"/>
    <w:rsid w:val="00666010"/>
    <w:rsid w:val="00685362"/>
    <w:rsid w:val="006A7413"/>
    <w:rsid w:val="006B29BB"/>
    <w:rsid w:val="006B59EC"/>
    <w:rsid w:val="006C0F80"/>
    <w:rsid w:val="006C1BB1"/>
    <w:rsid w:val="006C23EF"/>
    <w:rsid w:val="006D73BD"/>
    <w:rsid w:val="006D7BD9"/>
    <w:rsid w:val="006E213E"/>
    <w:rsid w:val="006E7706"/>
    <w:rsid w:val="006E7A8C"/>
    <w:rsid w:val="006F2113"/>
    <w:rsid w:val="006F432E"/>
    <w:rsid w:val="00702180"/>
    <w:rsid w:val="007057B9"/>
    <w:rsid w:val="00710F93"/>
    <w:rsid w:val="0071389A"/>
    <w:rsid w:val="007163C0"/>
    <w:rsid w:val="0072114B"/>
    <w:rsid w:val="0072351D"/>
    <w:rsid w:val="00725B7C"/>
    <w:rsid w:val="00727D02"/>
    <w:rsid w:val="00736004"/>
    <w:rsid w:val="00737594"/>
    <w:rsid w:val="007465FA"/>
    <w:rsid w:val="00754F79"/>
    <w:rsid w:val="00764E14"/>
    <w:rsid w:val="00776D7C"/>
    <w:rsid w:val="0077716F"/>
    <w:rsid w:val="0077738F"/>
    <w:rsid w:val="00782FAD"/>
    <w:rsid w:val="007833DA"/>
    <w:rsid w:val="007966ED"/>
    <w:rsid w:val="007A2B6E"/>
    <w:rsid w:val="007B5D63"/>
    <w:rsid w:val="007B76D3"/>
    <w:rsid w:val="007D4357"/>
    <w:rsid w:val="007E2C98"/>
    <w:rsid w:val="007E595D"/>
    <w:rsid w:val="007E7CFA"/>
    <w:rsid w:val="0080296E"/>
    <w:rsid w:val="008124E3"/>
    <w:rsid w:val="00815921"/>
    <w:rsid w:val="00815AF2"/>
    <w:rsid w:val="00820E22"/>
    <w:rsid w:val="00845366"/>
    <w:rsid w:val="0085181F"/>
    <w:rsid w:val="0085587F"/>
    <w:rsid w:val="00884377"/>
    <w:rsid w:val="008A5B17"/>
    <w:rsid w:val="008A7539"/>
    <w:rsid w:val="008B45FF"/>
    <w:rsid w:val="008B481F"/>
    <w:rsid w:val="008B65DC"/>
    <w:rsid w:val="008C5279"/>
    <w:rsid w:val="008D66F2"/>
    <w:rsid w:val="008D7EC7"/>
    <w:rsid w:val="008E089B"/>
    <w:rsid w:val="008E09BC"/>
    <w:rsid w:val="008E6358"/>
    <w:rsid w:val="0090375E"/>
    <w:rsid w:val="009104DC"/>
    <w:rsid w:val="009117C3"/>
    <w:rsid w:val="0091722F"/>
    <w:rsid w:val="009205B1"/>
    <w:rsid w:val="00922E24"/>
    <w:rsid w:val="0094709F"/>
    <w:rsid w:val="0095481C"/>
    <w:rsid w:val="009556AE"/>
    <w:rsid w:val="009557F7"/>
    <w:rsid w:val="00964E7C"/>
    <w:rsid w:val="00970744"/>
    <w:rsid w:val="00972DD3"/>
    <w:rsid w:val="00980C1F"/>
    <w:rsid w:val="009974EF"/>
    <w:rsid w:val="009A3A6A"/>
    <w:rsid w:val="009A5FA3"/>
    <w:rsid w:val="009A604B"/>
    <w:rsid w:val="009C48AF"/>
    <w:rsid w:val="009C56BE"/>
    <w:rsid w:val="009D0DA1"/>
    <w:rsid w:val="009E0A07"/>
    <w:rsid w:val="009F107B"/>
    <w:rsid w:val="009F5893"/>
    <w:rsid w:val="00A04285"/>
    <w:rsid w:val="00A1145C"/>
    <w:rsid w:val="00A141C0"/>
    <w:rsid w:val="00A15F0A"/>
    <w:rsid w:val="00A17C54"/>
    <w:rsid w:val="00A2171E"/>
    <w:rsid w:val="00A229F4"/>
    <w:rsid w:val="00A4271F"/>
    <w:rsid w:val="00A4434F"/>
    <w:rsid w:val="00A45C2A"/>
    <w:rsid w:val="00A46115"/>
    <w:rsid w:val="00A64154"/>
    <w:rsid w:val="00A71FDE"/>
    <w:rsid w:val="00A7231A"/>
    <w:rsid w:val="00A862D8"/>
    <w:rsid w:val="00AA079F"/>
    <w:rsid w:val="00AA501D"/>
    <w:rsid w:val="00AA53F2"/>
    <w:rsid w:val="00AC4E6C"/>
    <w:rsid w:val="00AD61F2"/>
    <w:rsid w:val="00AE005B"/>
    <w:rsid w:val="00AE0194"/>
    <w:rsid w:val="00AE78B9"/>
    <w:rsid w:val="00AF036F"/>
    <w:rsid w:val="00AF59F2"/>
    <w:rsid w:val="00AF73C0"/>
    <w:rsid w:val="00B02C13"/>
    <w:rsid w:val="00B06F2C"/>
    <w:rsid w:val="00B13A10"/>
    <w:rsid w:val="00B14A31"/>
    <w:rsid w:val="00B21495"/>
    <w:rsid w:val="00B227CB"/>
    <w:rsid w:val="00B267AE"/>
    <w:rsid w:val="00B30294"/>
    <w:rsid w:val="00B4376A"/>
    <w:rsid w:val="00B51BE2"/>
    <w:rsid w:val="00B72FCF"/>
    <w:rsid w:val="00B80869"/>
    <w:rsid w:val="00B84615"/>
    <w:rsid w:val="00B92479"/>
    <w:rsid w:val="00B9413B"/>
    <w:rsid w:val="00BA45E2"/>
    <w:rsid w:val="00BC1324"/>
    <w:rsid w:val="00BD07C6"/>
    <w:rsid w:val="00BD4B93"/>
    <w:rsid w:val="00BE1BF6"/>
    <w:rsid w:val="00BF19AA"/>
    <w:rsid w:val="00BF393D"/>
    <w:rsid w:val="00C00078"/>
    <w:rsid w:val="00C06962"/>
    <w:rsid w:val="00C14EB9"/>
    <w:rsid w:val="00C15D2B"/>
    <w:rsid w:val="00C27BFC"/>
    <w:rsid w:val="00C31CB0"/>
    <w:rsid w:val="00C41652"/>
    <w:rsid w:val="00C42355"/>
    <w:rsid w:val="00C57692"/>
    <w:rsid w:val="00C61C5D"/>
    <w:rsid w:val="00C84AB5"/>
    <w:rsid w:val="00C908BB"/>
    <w:rsid w:val="00CA6B77"/>
    <w:rsid w:val="00CB0FDE"/>
    <w:rsid w:val="00CB4EE1"/>
    <w:rsid w:val="00CB7728"/>
    <w:rsid w:val="00CC1B77"/>
    <w:rsid w:val="00CC3D4E"/>
    <w:rsid w:val="00CC41AF"/>
    <w:rsid w:val="00CC6319"/>
    <w:rsid w:val="00CC6325"/>
    <w:rsid w:val="00CD0829"/>
    <w:rsid w:val="00CE774C"/>
    <w:rsid w:val="00CF2776"/>
    <w:rsid w:val="00D01292"/>
    <w:rsid w:val="00D0435D"/>
    <w:rsid w:val="00D06F59"/>
    <w:rsid w:val="00D31821"/>
    <w:rsid w:val="00D60751"/>
    <w:rsid w:val="00D75D65"/>
    <w:rsid w:val="00D81A63"/>
    <w:rsid w:val="00D82110"/>
    <w:rsid w:val="00DA1874"/>
    <w:rsid w:val="00DA4D4A"/>
    <w:rsid w:val="00DA57E1"/>
    <w:rsid w:val="00DC5B12"/>
    <w:rsid w:val="00DD541C"/>
    <w:rsid w:val="00DD5A23"/>
    <w:rsid w:val="00DD5F5C"/>
    <w:rsid w:val="00DE59D7"/>
    <w:rsid w:val="00DF139B"/>
    <w:rsid w:val="00DF5C22"/>
    <w:rsid w:val="00DF7410"/>
    <w:rsid w:val="00E011EE"/>
    <w:rsid w:val="00E0415C"/>
    <w:rsid w:val="00E149F0"/>
    <w:rsid w:val="00E16546"/>
    <w:rsid w:val="00E20CB5"/>
    <w:rsid w:val="00E24808"/>
    <w:rsid w:val="00E24D2B"/>
    <w:rsid w:val="00E31021"/>
    <w:rsid w:val="00E368D7"/>
    <w:rsid w:val="00E44E31"/>
    <w:rsid w:val="00E463EE"/>
    <w:rsid w:val="00E51532"/>
    <w:rsid w:val="00E5377D"/>
    <w:rsid w:val="00E54175"/>
    <w:rsid w:val="00E55925"/>
    <w:rsid w:val="00E55EA5"/>
    <w:rsid w:val="00E65C3C"/>
    <w:rsid w:val="00E666F0"/>
    <w:rsid w:val="00E66D05"/>
    <w:rsid w:val="00E7549F"/>
    <w:rsid w:val="00E902D3"/>
    <w:rsid w:val="00E945FF"/>
    <w:rsid w:val="00EA5D3E"/>
    <w:rsid w:val="00EB000A"/>
    <w:rsid w:val="00EB0B91"/>
    <w:rsid w:val="00EB2DA8"/>
    <w:rsid w:val="00ED5543"/>
    <w:rsid w:val="00EF35CB"/>
    <w:rsid w:val="00EF5216"/>
    <w:rsid w:val="00EF7C28"/>
    <w:rsid w:val="00F112CC"/>
    <w:rsid w:val="00F125F3"/>
    <w:rsid w:val="00F142C3"/>
    <w:rsid w:val="00F20E49"/>
    <w:rsid w:val="00F2614B"/>
    <w:rsid w:val="00F3209E"/>
    <w:rsid w:val="00F325BE"/>
    <w:rsid w:val="00F336B9"/>
    <w:rsid w:val="00F36109"/>
    <w:rsid w:val="00F46760"/>
    <w:rsid w:val="00F5162F"/>
    <w:rsid w:val="00F54968"/>
    <w:rsid w:val="00F725FB"/>
    <w:rsid w:val="00F7311D"/>
    <w:rsid w:val="00F74102"/>
    <w:rsid w:val="00F7594E"/>
    <w:rsid w:val="00F81491"/>
    <w:rsid w:val="00F82FF2"/>
    <w:rsid w:val="00F860F2"/>
    <w:rsid w:val="00F9152C"/>
    <w:rsid w:val="00FA1516"/>
    <w:rsid w:val="00FA5001"/>
    <w:rsid w:val="00FB1E03"/>
    <w:rsid w:val="00FB2FBE"/>
    <w:rsid w:val="00FB65FE"/>
    <w:rsid w:val="00FC0181"/>
    <w:rsid w:val="00FC5C00"/>
    <w:rsid w:val="00FC6175"/>
    <w:rsid w:val="00FD03BB"/>
    <w:rsid w:val="00FD7518"/>
    <w:rsid w:val="00FD7CC1"/>
    <w:rsid w:val="00FF60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8B70C-1C2B-4498-BC8E-07EE4332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 Char,List Paragraph Char Char Char,List Paragraph (numbered (a)),Paragraphe,Paragraphe de liste11,List Paragraph,RapportIGF_numobservations,Paragraphe de liste du rapport,List ParagraphCxSpLast"/>
    <w:basedOn w:val="Normal"/>
    <w:link w:val="ParagraphedelisteCar"/>
    <w:uiPriority w:val="34"/>
    <w:qFormat/>
    <w:rsid w:val="00B06F2C"/>
    <w:pPr>
      <w:ind w:left="720"/>
      <w:contextualSpacing/>
    </w:pPr>
  </w:style>
  <w:style w:type="character" w:customStyle="1" w:styleId="NP2017ARcorpstxtCar">
    <w:name w:val="NP2017AR_corpstxt Car"/>
    <w:link w:val="NP2017ARcorpstxt"/>
    <w:locked/>
    <w:rsid w:val="00EF35CB"/>
    <w:rPr>
      <w:rFonts w:ascii="Adobe Arabic" w:eastAsia="Calibri" w:hAnsi="Adobe Arabic" w:cs="Adobe Arabic"/>
      <w:sz w:val="36"/>
      <w:szCs w:val="36"/>
      <w:lang w:val="en-US" w:bidi="ar-MA"/>
    </w:rPr>
  </w:style>
  <w:style w:type="paragraph" w:customStyle="1" w:styleId="NP2017ARcorpstxt">
    <w:name w:val="NP2017AR_corpstxt"/>
    <w:link w:val="NP2017ARcorpstxtCar"/>
    <w:qFormat/>
    <w:rsid w:val="00EF35CB"/>
    <w:pPr>
      <w:bidi/>
      <w:spacing w:before="240" w:after="240" w:line="240" w:lineRule="auto"/>
      <w:jc w:val="both"/>
    </w:pPr>
    <w:rPr>
      <w:rFonts w:ascii="Adobe Arabic" w:eastAsia="Calibri" w:hAnsi="Adobe Arabic" w:cs="Adobe Arabic"/>
      <w:sz w:val="36"/>
      <w:szCs w:val="36"/>
      <w:lang w:val="en-US" w:bidi="ar-MA"/>
    </w:rPr>
  </w:style>
  <w:style w:type="paragraph" w:customStyle="1" w:styleId="PuceAr">
    <w:name w:val="Puce Ar"/>
    <w:basedOn w:val="Corpsdetexte"/>
    <w:qFormat/>
    <w:rsid w:val="008A5B17"/>
    <w:pPr>
      <w:widowControl w:val="0"/>
      <w:numPr>
        <w:numId w:val="12"/>
      </w:numPr>
      <w:tabs>
        <w:tab w:val="num" w:pos="360"/>
      </w:tabs>
      <w:autoSpaceDE w:val="0"/>
      <w:autoSpaceDN w:val="0"/>
      <w:bidi/>
      <w:spacing w:before="141" w:after="240" w:line="259" w:lineRule="auto"/>
      <w:ind w:left="0" w:right="-64" w:firstLine="0"/>
      <w:jc w:val="both"/>
    </w:pPr>
    <w:rPr>
      <w:rFonts w:ascii="Arabic Transparent" w:eastAsia="OpenSans-Semibold" w:hAnsi="Arabic Transparent" w:cs="Arabic Transparent"/>
      <w:color w:val="231F20"/>
      <w:sz w:val="24"/>
      <w:szCs w:val="24"/>
      <w:lang w:eastAsia="fr-FR"/>
    </w:rPr>
  </w:style>
  <w:style w:type="paragraph" w:styleId="Corpsdetexte">
    <w:name w:val="Body Text"/>
    <w:basedOn w:val="Normal"/>
    <w:link w:val="CorpsdetexteCar"/>
    <w:uiPriority w:val="99"/>
    <w:semiHidden/>
    <w:unhideWhenUsed/>
    <w:rsid w:val="008A5B17"/>
    <w:pPr>
      <w:spacing w:after="120"/>
    </w:pPr>
  </w:style>
  <w:style w:type="character" w:customStyle="1" w:styleId="CorpsdetexteCar">
    <w:name w:val="Corps de texte Car"/>
    <w:basedOn w:val="Policepardfaut"/>
    <w:link w:val="Corpsdetexte"/>
    <w:uiPriority w:val="99"/>
    <w:semiHidden/>
    <w:rsid w:val="008A5B17"/>
  </w:style>
  <w:style w:type="paragraph" w:styleId="Notedebasdepage">
    <w:name w:val="footnote text"/>
    <w:basedOn w:val="Normal"/>
    <w:link w:val="NotedebasdepageCar"/>
    <w:uiPriority w:val="99"/>
    <w:semiHidden/>
    <w:unhideWhenUsed/>
    <w:rsid w:val="00586F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6F46"/>
    <w:rPr>
      <w:sz w:val="20"/>
      <w:szCs w:val="20"/>
    </w:rPr>
  </w:style>
  <w:style w:type="character" w:styleId="Appelnotedebasdep">
    <w:name w:val="footnote reference"/>
    <w:basedOn w:val="Policepardfaut"/>
    <w:uiPriority w:val="99"/>
    <w:semiHidden/>
    <w:unhideWhenUsed/>
    <w:rsid w:val="00586F46"/>
    <w:rPr>
      <w:vertAlign w:val="superscript"/>
    </w:rPr>
  </w:style>
  <w:style w:type="paragraph" w:styleId="En-tte">
    <w:name w:val="header"/>
    <w:basedOn w:val="Normal"/>
    <w:link w:val="En-tteCar"/>
    <w:uiPriority w:val="99"/>
    <w:unhideWhenUsed/>
    <w:rsid w:val="005A0BF3"/>
    <w:pPr>
      <w:tabs>
        <w:tab w:val="center" w:pos="4536"/>
        <w:tab w:val="right" w:pos="9072"/>
      </w:tabs>
      <w:spacing w:after="0" w:line="240" w:lineRule="auto"/>
    </w:pPr>
  </w:style>
  <w:style w:type="character" w:customStyle="1" w:styleId="En-tteCar">
    <w:name w:val="En-tête Car"/>
    <w:basedOn w:val="Policepardfaut"/>
    <w:link w:val="En-tte"/>
    <w:uiPriority w:val="99"/>
    <w:rsid w:val="005A0BF3"/>
  </w:style>
  <w:style w:type="paragraph" w:styleId="Pieddepage">
    <w:name w:val="footer"/>
    <w:basedOn w:val="Normal"/>
    <w:link w:val="PieddepageCar"/>
    <w:uiPriority w:val="99"/>
    <w:unhideWhenUsed/>
    <w:rsid w:val="005A0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BF3"/>
  </w:style>
  <w:style w:type="paragraph" w:styleId="Textedebulles">
    <w:name w:val="Balloon Text"/>
    <w:basedOn w:val="Normal"/>
    <w:link w:val="TextedebullesCar"/>
    <w:uiPriority w:val="99"/>
    <w:semiHidden/>
    <w:unhideWhenUsed/>
    <w:rsid w:val="00BD4B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4B93"/>
    <w:rPr>
      <w:rFonts w:ascii="Tahoma" w:hAnsi="Tahoma" w:cs="Tahoma"/>
      <w:sz w:val="16"/>
      <w:szCs w:val="16"/>
    </w:rPr>
  </w:style>
  <w:style w:type="character" w:customStyle="1" w:styleId="ParagraphedelisteCar">
    <w:name w:val="Paragraphe de liste Car"/>
    <w:aliases w:val="List Paragraph (numbered (a)) Char Car,List Paragraph Char Char Char Car,List Paragraph (numbered (a)) Car,Paragraphe Car,Paragraphe de liste11 Car,List Paragraph Car,RapportIGF_numobservations Car,List ParagraphCxSpLast Car"/>
    <w:basedOn w:val="Policepardfaut"/>
    <w:link w:val="Paragraphedeliste"/>
    <w:uiPriority w:val="34"/>
    <w:rsid w:val="0032696E"/>
  </w:style>
  <w:style w:type="character" w:styleId="Marquedecommentaire">
    <w:name w:val="annotation reference"/>
    <w:basedOn w:val="Policepardfaut"/>
    <w:uiPriority w:val="99"/>
    <w:semiHidden/>
    <w:unhideWhenUsed/>
    <w:rsid w:val="004F7FBA"/>
    <w:rPr>
      <w:sz w:val="16"/>
      <w:szCs w:val="16"/>
    </w:rPr>
  </w:style>
  <w:style w:type="paragraph" w:styleId="Commentaire">
    <w:name w:val="annotation text"/>
    <w:basedOn w:val="Normal"/>
    <w:link w:val="CommentaireCar"/>
    <w:uiPriority w:val="99"/>
    <w:semiHidden/>
    <w:unhideWhenUsed/>
    <w:rsid w:val="004F7FBA"/>
    <w:pPr>
      <w:spacing w:line="240" w:lineRule="auto"/>
    </w:pPr>
    <w:rPr>
      <w:sz w:val="20"/>
      <w:szCs w:val="20"/>
    </w:rPr>
  </w:style>
  <w:style w:type="character" w:customStyle="1" w:styleId="CommentaireCar">
    <w:name w:val="Commentaire Car"/>
    <w:basedOn w:val="Policepardfaut"/>
    <w:link w:val="Commentaire"/>
    <w:uiPriority w:val="99"/>
    <w:semiHidden/>
    <w:rsid w:val="004F7FBA"/>
    <w:rPr>
      <w:sz w:val="20"/>
      <w:szCs w:val="20"/>
    </w:rPr>
  </w:style>
  <w:style w:type="paragraph" w:styleId="Objetducommentaire">
    <w:name w:val="annotation subject"/>
    <w:basedOn w:val="Commentaire"/>
    <w:next w:val="Commentaire"/>
    <w:link w:val="ObjetducommentaireCar"/>
    <w:uiPriority w:val="99"/>
    <w:semiHidden/>
    <w:unhideWhenUsed/>
    <w:rsid w:val="004F7FBA"/>
    <w:rPr>
      <w:b/>
      <w:bCs/>
    </w:rPr>
  </w:style>
  <w:style w:type="character" w:customStyle="1" w:styleId="ObjetducommentaireCar">
    <w:name w:val="Objet du commentaire Car"/>
    <w:basedOn w:val="CommentaireCar"/>
    <w:link w:val="Objetducommentaire"/>
    <w:uiPriority w:val="99"/>
    <w:semiHidden/>
    <w:rsid w:val="004F7FBA"/>
    <w:rPr>
      <w:b/>
      <w:bCs/>
      <w:sz w:val="20"/>
      <w:szCs w:val="20"/>
    </w:rPr>
  </w:style>
  <w:style w:type="paragraph" w:customStyle="1" w:styleId="m-8656601378720091985default">
    <w:name w:val="m_-8656601378720091985default"/>
    <w:basedOn w:val="Normal"/>
    <w:rsid w:val="003D1F57"/>
    <w:pPr>
      <w:spacing w:before="100" w:beforeAutospacing="1" w:after="100" w:afterAutospacing="1" w:line="240" w:lineRule="auto"/>
      <w:jc w:val="both"/>
    </w:pPr>
    <w:rPr>
      <w:rFonts w:ascii="Times New Roman" w:eastAsia="Times New Roman" w:hAnsi="Times New Roman" w:cs="Times New Roman"/>
      <w:sz w:val="24"/>
      <w:szCs w:val="24"/>
      <w:lang w:eastAsia="zh-CN"/>
    </w:rPr>
  </w:style>
  <w:style w:type="table" w:customStyle="1" w:styleId="Grilledutableau1">
    <w:name w:val="Grille du tableau1"/>
    <w:basedOn w:val="TableauNormal"/>
    <w:next w:val="Grilledutableau"/>
    <w:uiPriority w:val="59"/>
    <w:rsid w:val="0008275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f.finances.gov.ma/fr/actualites/diffusion-de-la-circulaire-du-chef-du-gouvernement-ndeg-122021-en-date-du-26-juillet-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AF1C-515D-4D97-B587-4DEC6554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3360</Words>
  <Characters>18481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ROUCHDI Karim</dc:creator>
  <cp:lastModifiedBy>Vi and Vi MA-DUPONT</cp:lastModifiedBy>
  <cp:revision>2</cp:revision>
  <cp:lastPrinted>2021-07-08T14:32:00Z</cp:lastPrinted>
  <dcterms:created xsi:type="dcterms:W3CDTF">2021-09-02T14:44:00Z</dcterms:created>
  <dcterms:modified xsi:type="dcterms:W3CDTF">2021-09-02T14:44:00Z</dcterms:modified>
</cp:coreProperties>
</file>